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C1E9B" w14:textId="77777777" w:rsidR="009830E4" w:rsidRPr="00AD5BFA" w:rsidRDefault="009830E4" w:rsidP="003904ED">
      <w:pPr>
        <w:pStyle w:val="Heading1a"/>
        <w:keepNext w:val="0"/>
        <w:keepLines w:val="0"/>
        <w:tabs>
          <w:tab w:val="clear" w:pos="-720"/>
        </w:tabs>
        <w:suppressAutoHyphens w:val="0"/>
        <w:rPr>
          <w:bCs/>
          <w:smallCaps w:val="0"/>
          <w:sz w:val="22"/>
          <w:szCs w:val="22"/>
        </w:rPr>
      </w:pPr>
      <w:r w:rsidRPr="00AD5BFA">
        <w:rPr>
          <w:bCs/>
          <w:smallCaps w:val="0"/>
          <w:sz w:val="22"/>
          <w:szCs w:val="22"/>
        </w:rPr>
        <w:t>REQUEST FOR EXPRESSIONS OF INTEREST</w:t>
      </w:r>
    </w:p>
    <w:p w14:paraId="7180CDDC" w14:textId="77777777" w:rsidR="009830E4" w:rsidRPr="00AD5BFA" w:rsidRDefault="00FB7459" w:rsidP="00FB7459">
      <w:pPr>
        <w:pStyle w:val="Heading1a"/>
        <w:keepNext w:val="0"/>
        <w:keepLines w:val="0"/>
        <w:tabs>
          <w:tab w:val="clear" w:pos="-720"/>
        </w:tabs>
        <w:suppressAutoHyphens w:val="0"/>
        <w:rPr>
          <w:spacing w:val="-2"/>
          <w:sz w:val="22"/>
          <w:szCs w:val="22"/>
        </w:rPr>
      </w:pPr>
      <w:r w:rsidRPr="00AD5BFA">
        <w:rPr>
          <w:bCs/>
          <w:smallCaps w:val="0"/>
          <w:sz w:val="22"/>
          <w:szCs w:val="22"/>
        </w:rPr>
        <w:t xml:space="preserve">(CONSULTING SERVICES – FIRMS SELECTION) </w:t>
      </w:r>
    </w:p>
    <w:p w14:paraId="672A6659" w14:textId="77777777" w:rsidR="0041379A" w:rsidRPr="00AD5BFA" w:rsidRDefault="0041379A">
      <w:pPr>
        <w:pStyle w:val="ChapterNumber"/>
        <w:tabs>
          <w:tab w:val="clear" w:pos="-720"/>
        </w:tabs>
        <w:rPr>
          <w:rFonts w:ascii="Times New Roman" w:hAnsi="Times New Roman"/>
          <w:spacing w:val="-2"/>
          <w:szCs w:val="22"/>
        </w:rPr>
      </w:pPr>
    </w:p>
    <w:p w14:paraId="13D8E052" w14:textId="4ED90724" w:rsidR="009830E4" w:rsidRPr="00AD5BFA" w:rsidRDefault="00FB7459" w:rsidP="00F36D4C">
      <w:pPr>
        <w:suppressAutoHyphens/>
        <w:jc w:val="both"/>
        <w:rPr>
          <w:rFonts w:ascii="Times New Roman" w:hAnsi="Times New Roman"/>
          <w:b/>
          <w:spacing w:val="-2"/>
          <w:szCs w:val="22"/>
        </w:rPr>
      </w:pPr>
      <w:r w:rsidRPr="00AD5BFA">
        <w:rPr>
          <w:rFonts w:ascii="Times New Roman" w:hAnsi="Times New Roman"/>
          <w:b/>
          <w:spacing w:val="-2"/>
          <w:szCs w:val="22"/>
        </w:rPr>
        <w:t xml:space="preserve">Country: </w:t>
      </w:r>
      <w:r w:rsidR="005809EB" w:rsidRPr="00AD5BFA">
        <w:rPr>
          <w:rFonts w:ascii="Times New Roman" w:hAnsi="Times New Roman"/>
          <w:b/>
          <w:spacing w:val="-2"/>
          <w:szCs w:val="22"/>
        </w:rPr>
        <w:tab/>
        <w:t xml:space="preserve">        </w:t>
      </w:r>
      <w:r w:rsidRPr="00AD5BFA">
        <w:rPr>
          <w:rFonts w:ascii="Times New Roman" w:hAnsi="Times New Roman"/>
          <w:b/>
          <w:spacing w:val="-2"/>
          <w:szCs w:val="22"/>
        </w:rPr>
        <w:t>Pakistan</w:t>
      </w:r>
    </w:p>
    <w:p w14:paraId="77274F83" w14:textId="6C864B49" w:rsidR="005116E9" w:rsidRPr="00AD5BFA" w:rsidRDefault="4662DD7E" w:rsidP="06438F7D">
      <w:pPr>
        <w:ind w:left="1890" w:hanging="1890"/>
        <w:jc w:val="both"/>
        <w:rPr>
          <w:rFonts w:ascii="Times New Roman" w:hAnsi="Times New Roman"/>
          <w:b/>
          <w:bCs/>
          <w:spacing w:val="-2"/>
          <w:szCs w:val="22"/>
        </w:rPr>
      </w:pPr>
      <w:r w:rsidRPr="00AD5BFA">
        <w:rPr>
          <w:rFonts w:ascii="Times New Roman" w:hAnsi="Times New Roman"/>
          <w:b/>
          <w:bCs/>
          <w:spacing w:val="-2"/>
          <w:szCs w:val="22"/>
        </w:rPr>
        <w:t xml:space="preserve">Project: </w:t>
      </w:r>
      <w:r w:rsidR="52DAF59A" w:rsidRPr="00AD5BFA">
        <w:rPr>
          <w:rFonts w:ascii="Times New Roman" w:hAnsi="Times New Roman"/>
          <w:b/>
          <w:bCs/>
          <w:szCs w:val="22"/>
        </w:rPr>
        <w:t xml:space="preserve"> </w:t>
      </w:r>
      <w:r w:rsidR="004F1120" w:rsidRPr="00AD5BFA">
        <w:rPr>
          <w:rFonts w:ascii="Times New Roman" w:hAnsi="Times New Roman"/>
          <w:b/>
          <w:bCs/>
          <w:szCs w:val="22"/>
        </w:rPr>
        <w:tab/>
      </w:r>
      <w:r w:rsidR="005A484C">
        <w:rPr>
          <w:rFonts w:ascii="Times New Roman" w:hAnsi="Times New Roman"/>
          <w:b/>
          <w:bCs/>
          <w:szCs w:val="22"/>
        </w:rPr>
        <w:t>Pakistan Poverty Alleviation Fund</w:t>
      </w:r>
    </w:p>
    <w:p w14:paraId="02EB378F" w14:textId="03F46E97" w:rsidR="009830E4" w:rsidRPr="00AD5BFA" w:rsidRDefault="4DBEF52F" w:rsidP="002947E4">
      <w:pPr>
        <w:ind w:left="1890" w:hanging="1890"/>
        <w:jc w:val="both"/>
        <w:rPr>
          <w:rFonts w:ascii="Times New Roman" w:hAnsi="Times New Roman"/>
          <w:spacing w:val="-2"/>
          <w:szCs w:val="22"/>
        </w:rPr>
      </w:pPr>
      <w:r w:rsidRPr="00AD5BFA">
        <w:rPr>
          <w:rFonts w:ascii="Times New Roman" w:hAnsi="Times New Roman"/>
          <w:b/>
          <w:bCs/>
          <w:szCs w:val="22"/>
        </w:rPr>
        <w:t>Assignment Title</w:t>
      </w:r>
      <w:r w:rsidR="3B406DFF" w:rsidRPr="00AD5BFA">
        <w:rPr>
          <w:rFonts w:ascii="Times New Roman" w:hAnsi="Times New Roman"/>
          <w:b/>
          <w:bCs/>
          <w:szCs w:val="22"/>
        </w:rPr>
        <w:t xml:space="preserve">: </w:t>
      </w:r>
      <w:r w:rsidR="002947E4" w:rsidRPr="00AD5BFA">
        <w:rPr>
          <w:rFonts w:ascii="Times New Roman" w:hAnsi="Times New Roman"/>
          <w:b/>
          <w:bCs/>
          <w:szCs w:val="22"/>
        </w:rPr>
        <w:tab/>
      </w:r>
      <w:r w:rsidR="00892739" w:rsidRPr="00AD5BFA">
        <w:rPr>
          <w:rFonts w:ascii="Times New Roman" w:hAnsi="Times New Roman"/>
          <w:b/>
          <w:bCs/>
          <w:szCs w:val="22"/>
        </w:rPr>
        <w:t>“</w:t>
      </w:r>
      <w:r w:rsidR="00EA0378">
        <w:rPr>
          <w:rFonts w:ascii="Times New Roman" w:hAnsi="Times New Roman"/>
          <w:b/>
          <w:bCs/>
          <w:szCs w:val="22"/>
        </w:rPr>
        <w:t>F</w:t>
      </w:r>
      <w:r w:rsidR="00892739" w:rsidRPr="00AD5BFA">
        <w:rPr>
          <w:rFonts w:ascii="Times New Roman" w:hAnsi="Times New Roman"/>
          <w:b/>
          <w:bCs/>
          <w:szCs w:val="22"/>
        </w:rPr>
        <w:t>ormulation/revision of the PPAF Strategy based on results and lessons from implementation of 2021-2025 Strategy”</w:t>
      </w:r>
    </w:p>
    <w:p w14:paraId="41C8F396" w14:textId="12F20ED9" w:rsidR="00E6205D" w:rsidRPr="00AD5BFA" w:rsidRDefault="00E6205D" w:rsidP="00F36D4C">
      <w:pPr>
        <w:jc w:val="both"/>
        <w:rPr>
          <w:rFonts w:ascii="Times New Roman" w:hAnsi="Times New Roman"/>
          <w:spacing w:val="-2"/>
          <w:szCs w:val="22"/>
        </w:rPr>
      </w:pPr>
    </w:p>
    <w:p w14:paraId="320BC9DB" w14:textId="59E9213A" w:rsidR="00772256" w:rsidRPr="00AD5BFA" w:rsidRDefault="00772256" w:rsidP="00772256">
      <w:pPr>
        <w:pStyle w:val="ListParagraph"/>
        <w:numPr>
          <w:ilvl w:val="0"/>
          <w:numId w:val="13"/>
        </w:numPr>
        <w:spacing w:after="0" w:line="240" w:lineRule="auto"/>
        <w:contextualSpacing/>
        <w:jc w:val="both"/>
        <w:rPr>
          <w:rFonts w:ascii="Times New Roman" w:hAnsi="Times New Roman"/>
          <w:b/>
        </w:rPr>
      </w:pPr>
      <w:r w:rsidRPr="00AD5BFA">
        <w:rPr>
          <w:rFonts w:ascii="Times New Roman" w:hAnsi="Times New Roman"/>
          <w:b/>
        </w:rPr>
        <w:t>Introduction</w:t>
      </w:r>
      <w:r w:rsidR="005F59A3">
        <w:rPr>
          <w:rFonts w:ascii="Times New Roman" w:hAnsi="Times New Roman"/>
          <w:b/>
        </w:rPr>
        <w:t xml:space="preserve"> and Background</w:t>
      </w:r>
      <w:r w:rsidRPr="00AD5BFA">
        <w:rPr>
          <w:rFonts w:ascii="Times New Roman" w:hAnsi="Times New Roman"/>
          <w:b/>
        </w:rPr>
        <w:t xml:space="preserve">: </w:t>
      </w:r>
    </w:p>
    <w:p w14:paraId="094BB3FF" w14:textId="40EE98FE" w:rsidR="00772256" w:rsidRPr="00AD5BFA" w:rsidRDefault="00772256" w:rsidP="00772256">
      <w:pPr>
        <w:jc w:val="both"/>
        <w:rPr>
          <w:rFonts w:ascii="Times New Roman" w:hAnsi="Times New Roman"/>
          <w:szCs w:val="22"/>
        </w:rPr>
      </w:pPr>
      <w:r w:rsidRPr="00AD5BFA">
        <w:rPr>
          <w:rFonts w:ascii="Times New Roman" w:hAnsi="Times New Roman"/>
          <w:szCs w:val="22"/>
        </w:rPr>
        <w:t xml:space="preserve">Pakistan Poverty Alleviation Fund (PPAF) is the lead apex institution for community-driven development in the country. PPAF was registered in February 1997 under Section 42 of the Companies Ordinance 1984 (now Companies Act 2017) as a not-for profit company. PPAF’s mission is to transform the lives of the poor to create a more equitable and prosperous Pakistan. It has outreach in 149 districts across all four provinces and regions of the country, supporting communities to access improved infrastructure, energy, health, education, livelihoods, finance, and develop resilience to disasters. It serves the poorest and most marginalized rural households and communities across the country providing them with an array of financial and non-financial services. PPAF aims to ensure that its core values of social inclusion, participation, accountability, transparency, and stewardship are built into all processes and programmes. For a complete profile, please visit our website at </w:t>
      </w:r>
      <w:hyperlink r:id="rId8" w:history="1">
        <w:r w:rsidR="00CF2220" w:rsidRPr="00AD5BFA">
          <w:rPr>
            <w:rStyle w:val="Hyperlink"/>
            <w:rFonts w:ascii="Times New Roman" w:hAnsi="Times New Roman"/>
            <w:szCs w:val="22"/>
          </w:rPr>
          <w:t>http://www.ppaf.org.pk</w:t>
        </w:r>
      </w:hyperlink>
      <w:r w:rsidRPr="00AD5BFA">
        <w:rPr>
          <w:rFonts w:ascii="Times New Roman" w:hAnsi="Times New Roman"/>
          <w:szCs w:val="22"/>
        </w:rPr>
        <w:t>.</w:t>
      </w:r>
    </w:p>
    <w:p w14:paraId="31B6F0EF" w14:textId="77777777" w:rsidR="00772256" w:rsidRPr="00AD5BFA" w:rsidRDefault="00772256" w:rsidP="00772256">
      <w:pPr>
        <w:jc w:val="both"/>
        <w:rPr>
          <w:rFonts w:ascii="Times New Roman" w:hAnsi="Times New Roman"/>
          <w:szCs w:val="22"/>
        </w:rPr>
      </w:pPr>
    </w:p>
    <w:p w14:paraId="11862918" w14:textId="4BBF3435" w:rsidR="00000987" w:rsidRPr="00AD5BFA" w:rsidRDefault="00000987" w:rsidP="00000987">
      <w:pPr>
        <w:jc w:val="both"/>
        <w:rPr>
          <w:rFonts w:ascii="Times New Roman" w:hAnsi="Times New Roman"/>
          <w:szCs w:val="22"/>
        </w:rPr>
      </w:pPr>
      <w:r w:rsidRPr="00AD5BFA">
        <w:rPr>
          <w:rFonts w:ascii="Times New Roman" w:hAnsi="Times New Roman"/>
          <w:szCs w:val="22"/>
        </w:rPr>
        <w:t xml:space="preserve">PPAF receives funding from the Government of Pakistan, prominent international donors, and utilises its own resources to design and implement projects and initiatives are implemented through network of partner civil society organisations. PPAF is committed to building and enhancing the capacity of its partner organisations to improve social mobilisation, and to promote the values of inclusion, participation, accountability, transparency, and stewardship. Through these efforts, PPAF aims to create sustainable and empowered communities, significantly contributing to the nation’s long-term development and stability. </w:t>
      </w:r>
    </w:p>
    <w:p w14:paraId="62E34ABE" w14:textId="77777777" w:rsidR="00000987" w:rsidRPr="00AD5BFA" w:rsidRDefault="00000987" w:rsidP="00000987">
      <w:pPr>
        <w:jc w:val="both"/>
        <w:rPr>
          <w:rFonts w:ascii="Times New Roman" w:hAnsi="Times New Roman"/>
          <w:szCs w:val="22"/>
        </w:rPr>
      </w:pPr>
    </w:p>
    <w:p w14:paraId="44B750BC" w14:textId="77777777" w:rsidR="00000987" w:rsidRPr="00AD5BFA" w:rsidRDefault="00000987" w:rsidP="00000987">
      <w:pPr>
        <w:jc w:val="both"/>
        <w:rPr>
          <w:rFonts w:ascii="Times New Roman" w:hAnsi="Times New Roman"/>
          <w:szCs w:val="22"/>
        </w:rPr>
      </w:pPr>
      <w:r w:rsidRPr="00AD5BFA">
        <w:rPr>
          <w:rFonts w:ascii="Times New Roman" w:hAnsi="Times New Roman"/>
          <w:szCs w:val="22"/>
        </w:rPr>
        <w:t>These are the Terms of Reference (ToRs) for the required technical support through an experienced consulting firm for formulating the Pakistan Poverty Alleviation Fund’s Strategy along with its Results Framework, and Multi-Annual Actionable Plan, while assessing the results and achievements under the existing 2021-25 Strategy and considering the lessons learnt towards the formulation of the revised Strategy. The new Strategy, its Results Framework, and the Multi-Annual Actionable Plan, to be developed under this assignment will provide strategic direction for the subsequent PPAF’s interventions during the defined period towards achievement of PPAF’s aspirations in respect to its vision, mission, and strategic goals and objectives.</w:t>
      </w:r>
    </w:p>
    <w:p w14:paraId="47A123D9" w14:textId="77777777" w:rsidR="00000987" w:rsidRPr="00AD5BFA" w:rsidRDefault="00000987" w:rsidP="00000987">
      <w:pPr>
        <w:jc w:val="both"/>
        <w:rPr>
          <w:rFonts w:ascii="Times New Roman" w:hAnsi="Times New Roman"/>
          <w:szCs w:val="22"/>
        </w:rPr>
      </w:pPr>
    </w:p>
    <w:p w14:paraId="0BE916B9" w14:textId="77777777" w:rsidR="00000987" w:rsidRPr="00AD5BFA" w:rsidRDefault="00000987" w:rsidP="00000987">
      <w:pPr>
        <w:jc w:val="both"/>
        <w:rPr>
          <w:rFonts w:ascii="Times New Roman" w:hAnsi="Times New Roman"/>
          <w:szCs w:val="22"/>
        </w:rPr>
      </w:pPr>
      <w:r w:rsidRPr="00AD5BFA">
        <w:rPr>
          <w:rFonts w:ascii="Times New Roman" w:hAnsi="Times New Roman"/>
          <w:szCs w:val="22"/>
        </w:rPr>
        <w:t>Additionally, the revised Strategy will serve as a tool for resource mobilisation from the federal and provincial governments and its development partners, and national and international corporate sector and funding agencies. The ToRs therefore provide information on the overall objectives of the consultancy, the general methodology, tools and approaches, the expected deliverables and the required qualification and experiences of consultants.</w:t>
      </w:r>
    </w:p>
    <w:p w14:paraId="08197759" w14:textId="77777777" w:rsidR="00000987" w:rsidRPr="00AD5BFA" w:rsidRDefault="00000987" w:rsidP="00000987">
      <w:pPr>
        <w:jc w:val="both"/>
        <w:rPr>
          <w:rFonts w:ascii="Times New Roman" w:hAnsi="Times New Roman"/>
          <w:szCs w:val="22"/>
        </w:rPr>
      </w:pPr>
    </w:p>
    <w:p w14:paraId="54045764" w14:textId="0142A2CF" w:rsidR="00000987" w:rsidRPr="009202AC" w:rsidRDefault="00000987" w:rsidP="009202AC">
      <w:pPr>
        <w:pStyle w:val="ListParagraph"/>
        <w:numPr>
          <w:ilvl w:val="0"/>
          <w:numId w:val="13"/>
        </w:numPr>
        <w:spacing w:after="120"/>
        <w:jc w:val="both"/>
        <w:rPr>
          <w:rFonts w:ascii="Times New Roman" w:hAnsi="Times New Roman"/>
          <w:b/>
        </w:rPr>
      </w:pPr>
      <w:r w:rsidRPr="009202AC">
        <w:rPr>
          <w:rFonts w:ascii="Times New Roman" w:hAnsi="Times New Roman"/>
          <w:b/>
        </w:rPr>
        <w:t>Rationale of the Assignment</w:t>
      </w:r>
    </w:p>
    <w:p w14:paraId="45996ACC" w14:textId="77777777" w:rsidR="00000987" w:rsidRPr="00AD5BFA" w:rsidRDefault="00000987" w:rsidP="00000987">
      <w:pPr>
        <w:jc w:val="both"/>
        <w:rPr>
          <w:rFonts w:ascii="Times New Roman" w:hAnsi="Times New Roman"/>
          <w:szCs w:val="22"/>
        </w:rPr>
      </w:pPr>
      <w:r w:rsidRPr="00AD5BFA">
        <w:rPr>
          <w:rFonts w:ascii="Times New Roman" w:hAnsi="Times New Roman"/>
          <w:szCs w:val="22"/>
        </w:rPr>
        <w:t>In 2021, PPAF launched its five-year 2021-25 Strategy that defines the focus for its interventions under the following four goals on which PPAF invested the bulk of its efforts and resources. Each goal contributes to the Government of Pakistan’s long-term development agenda, including Sustainable Development Goals (SDGs) and “Vision 2025”, and other sectoral policies. Moreover, the Strategy defines specific expected outcomes and results to ensure that PPAF effectively and efficiently fulfills its mandated objectives stipulated in its bylaws.</w:t>
      </w:r>
    </w:p>
    <w:p w14:paraId="29A2FB4A" w14:textId="77777777" w:rsidR="00000987" w:rsidRPr="00AD5BFA" w:rsidRDefault="00000987" w:rsidP="00000987">
      <w:pPr>
        <w:jc w:val="both"/>
        <w:rPr>
          <w:rFonts w:ascii="Times New Roman" w:hAnsi="Times New Roman"/>
          <w:szCs w:val="22"/>
        </w:rPr>
      </w:pPr>
    </w:p>
    <w:tbl>
      <w:tblPr>
        <w:tblStyle w:val="TableGrid"/>
        <w:tblW w:w="0" w:type="auto"/>
        <w:tblLook w:val="04A0" w:firstRow="1" w:lastRow="0" w:firstColumn="1" w:lastColumn="0" w:noHBand="0" w:noVBand="1"/>
      </w:tblPr>
      <w:tblGrid>
        <w:gridCol w:w="4675"/>
        <w:gridCol w:w="4675"/>
      </w:tblGrid>
      <w:tr w:rsidR="00000987" w:rsidRPr="00AD5BFA" w14:paraId="3E9A7D84" w14:textId="77777777" w:rsidTr="00745827">
        <w:tc>
          <w:tcPr>
            <w:tcW w:w="4675" w:type="dxa"/>
          </w:tcPr>
          <w:p w14:paraId="6C8EFDED" w14:textId="77777777" w:rsidR="00000987" w:rsidRPr="00AD5BFA" w:rsidRDefault="00000987" w:rsidP="00745827">
            <w:pPr>
              <w:jc w:val="both"/>
              <w:rPr>
                <w:rFonts w:ascii="Times New Roman" w:hAnsi="Times New Roman"/>
                <w:szCs w:val="22"/>
              </w:rPr>
            </w:pPr>
            <w:r w:rsidRPr="00AD5BFA">
              <w:rPr>
                <w:rFonts w:ascii="Times New Roman" w:hAnsi="Times New Roman"/>
                <w:b/>
                <w:bCs/>
                <w:szCs w:val="22"/>
              </w:rPr>
              <w:t>Goal 1:</w:t>
            </w:r>
            <w:r w:rsidRPr="00AD5BFA">
              <w:rPr>
                <w:rFonts w:ascii="Times New Roman" w:hAnsi="Times New Roman"/>
                <w:szCs w:val="22"/>
              </w:rPr>
              <w:t xml:space="preserve"> Foster institutions of and for the poor to reduce inequalities, promote inclusive governance and development.</w:t>
            </w:r>
          </w:p>
        </w:tc>
        <w:tc>
          <w:tcPr>
            <w:tcW w:w="4675" w:type="dxa"/>
          </w:tcPr>
          <w:p w14:paraId="44B06834" w14:textId="77777777" w:rsidR="00000987" w:rsidRPr="00AD5BFA" w:rsidRDefault="00000987" w:rsidP="00745827">
            <w:pPr>
              <w:jc w:val="both"/>
              <w:rPr>
                <w:rFonts w:ascii="Times New Roman" w:hAnsi="Times New Roman"/>
                <w:szCs w:val="22"/>
              </w:rPr>
            </w:pPr>
            <w:r w:rsidRPr="00AD5BFA">
              <w:rPr>
                <w:rFonts w:ascii="Times New Roman" w:hAnsi="Times New Roman"/>
                <w:b/>
                <w:bCs/>
                <w:szCs w:val="22"/>
              </w:rPr>
              <w:t>Goal 2:</w:t>
            </w:r>
            <w:r w:rsidRPr="00AD5BFA">
              <w:rPr>
                <w:rFonts w:ascii="Times New Roman" w:hAnsi="Times New Roman"/>
                <w:szCs w:val="22"/>
              </w:rPr>
              <w:t xml:space="preserve"> Enhance sustainable and resilient livelihood opportunities to support households to graduate out of poverty.</w:t>
            </w:r>
          </w:p>
        </w:tc>
      </w:tr>
      <w:tr w:rsidR="00000987" w:rsidRPr="00AD5BFA" w14:paraId="790AA0AB" w14:textId="77777777" w:rsidTr="00745827">
        <w:tc>
          <w:tcPr>
            <w:tcW w:w="4675" w:type="dxa"/>
          </w:tcPr>
          <w:p w14:paraId="47CDF6A3" w14:textId="77777777" w:rsidR="00000987" w:rsidRPr="00AD5BFA" w:rsidRDefault="00000987" w:rsidP="00745827">
            <w:pPr>
              <w:jc w:val="both"/>
              <w:rPr>
                <w:rFonts w:ascii="Times New Roman" w:hAnsi="Times New Roman"/>
                <w:szCs w:val="22"/>
              </w:rPr>
            </w:pPr>
            <w:r w:rsidRPr="00AD5BFA">
              <w:rPr>
                <w:rFonts w:ascii="Times New Roman" w:hAnsi="Times New Roman"/>
                <w:b/>
                <w:bCs/>
                <w:szCs w:val="22"/>
              </w:rPr>
              <w:t xml:space="preserve">Goal 3: </w:t>
            </w:r>
            <w:r w:rsidRPr="00AD5BFA">
              <w:rPr>
                <w:rFonts w:ascii="Times New Roman" w:hAnsi="Times New Roman"/>
                <w:szCs w:val="22"/>
              </w:rPr>
              <w:t xml:space="preserve">Address systemic deprivations that exacerbate poverty through local infrastructure </w:t>
            </w:r>
            <w:r w:rsidRPr="00AD5BFA">
              <w:rPr>
                <w:rFonts w:ascii="Times New Roman" w:hAnsi="Times New Roman"/>
                <w:szCs w:val="22"/>
              </w:rPr>
              <w:lastRenderedPageBreak/>
              <w:t xml:space="preserve">development and community well-being initiatives. </w:t>
            </w:r>
          </w:p>
        </w:tc>
        <w:tc>
          <w:tcPr>
            <w:tcW w:w="4675" w:type="dxa"/>
          </w:tcPr>
          <w:p w14:paraId="437BA235" w14:textId="77777777" w:rsidR="00000987" w:rsidRPr="00AD5BFA" w:rsidRDefault="00000987" w:rsidP="00745827">
            <w:pPr>
              <w:jc w:val="both"/>
              <w:rPr>
                <w:rFonts w:ascii="Times New Roman" w:hAnsi="Times New Roman"/>
                <w:szCs w:val="22"/>
              </w:rPr>
            </w:pPr>
            <w:r w:rsidRPr="00AD5BFA">
              <w:rPr>
                <w:rFonts w:ascii="Times New Roman" w:hAnsi="Times New Roman"/>
                <w:b/>
                <w:bCs/>
                <w:szCs w:val="22"/>
              </w:rPr>
              <w:lastRenderedPageBreak/>
              <w:t>Goal 4:</w:t>
            </w:r>
            <w:r w:rsidRPr="00AD5BFA">
              <w:rPr>
                <w:rFonts w:ascii="Times New Roman" w:hAnsi="Times New Roman"/>
                <w:szCs w:val="22"/>
              </w:rPr>
              <w:t xml:space="preserve"> Strengthen organisational effectiveness by aligning resource mobilisation, people capabilities </w:t>
            </w:r>
            <w:r w:rsidRPr="00AD5BFA">
              <w:rPr>
                <w:rFonts w:ascii="Times New Roman" w:hAnsi="Times New Roman"/>
                <w:szCs w:val="22"/>
              </w:rPr>
              <w:lastRenderedPageBreak/>
              <w:t>and partnerships to transform into a more agile, responsive, and effective institution.</w:t>
            </w:r>
          </w:p>
        </w:tc>
      </w:tr>
    </w:tbl>
    <w:p w14:paraId="27C2C306" w14:textId="77777777" w:rsidR="00000987" w:rsidRPr="00AD5BFA" w:rsidRDefault="00000987" w:rsidP="00000987">
      <w:pPr>
        <w:jc w:val="both"/>
        <w:rPr>
          <w:rFonts w:ascii="Times New Roman" w:hAnsi="Times New Roman"/>
          <w:szCs w:val="22"/>
        </w:rPr>
      </w:pPr>
    </w:p>
    <w:p w14:paraId="75C07D3E" w14:textId="77777777" w:rsidR="00000987" w:rsidRPr="00AD5BFA" w:rsidRDefault="00000987" w:rsidP="00000987">
      <w:pPr>
        <w:jc w:val="both"/>
        <w:rPr>
          <w:rFonts w:ascii="Times New Roman" w:hAnsi="Times New Roman"/>
          <w:szCs w:val="22"/>
        </w:rPr>
      </w:pPr>
      <w:r w:rsidRPr="00AD5BFA">
        <w:rPr>
          <w:rFonts w:ascii="Times New Roman" w:hAnsi="Times New Roman"/>
          <w:szCs w:val="22"/>
        </w:rPr>
        <w:t>To effectively showcase the relevance and efficacy of its 2021-25 Strategy, it is imperative for PPAF to assess the results and impact, and to document learnings from implementation of the Strategy. This course of action will also inform and contribute to the formulation of the revised Strategy, and to transparently communicate to the stakeholders of the achievements and broader impact of PPAF’s interventions. This fosters accountability and underscores the significance of the organisation's contributions.</w:t>
      </w:r>
    </w:p>
    <w:p w14:paraId="03E09B71" w14:textId="77777777" w:rsidR="00857493" w:rsidRPr="00AD5BFA" w:rsidRDefault="00857493" w:rsidP="001542F2">
      <w:pPr>
        <w:suppressAutoHyphens/>
        <w:jc w:val="both"/>
        <w:rPr>
          <w:rFonts w:ascii="Times New Roman" w:hAnsi="Times New Roman"/>
          <w:spacing w:val="-2"/>
          <w:szCs w:val="22"/>
        </w:rPr>
      </w:pPr>
    </w:p>
    <w:p w14:paraId="18D30FB5" w14:textId="04B3E18D" w:rsidR="001542F2" w:rsidRPr="00AD5BFA" w:rsidRDefault="001542F2" w:rsidP="001542F2">
      <w:pPr>
        <w:suppressAutoHyphens/>
        <w:jc w:val="both"/>
        <w:rPr>
          <w:rFonts w:ascii="Times New Roman" w:hAnsi="Times New Roman"/>
          <w:spacing w:val="-2"/>
          <w:szCs w:val="22"/>
        </w:rPr>
      </w:pPr>
      <w:r w:rsidRPr="00AD5BFA">
        <w:rPr>
          <w:rFonts w:ascii="Times New Roman" w:hAnsi="Times New Roman"/>
          <w:spacing w:val="-2"/>
          <w:szCs w:val="22"/>
        </w:rPr>
        <w:t xml:space="preserve">PPAF invites eligible consulting firms (“Consultants”) to indicate their interest in providing the Services. Interested Consultants should provide information demonstrating that they have the required qualifications and relevant experience to perform the Services. Firm consultants shall be evaluated </w:t>
      </w:r>
      <w:proofErr w:type="gramStart"/>
      <w:r w:rsidRPr="00AD5BFA">
        <w:rPr>
          <w:rFonts w:ascii="Times New Roman" w:hAnsi="Times New Roman"/>
          <w:spacing w:val="-2"/>
          <w:szCs w:val="22"/>
        </w:rPr>
        <w:t>on the basis of</w:t>
      </w:r>
      <w:proofErr w:type="gramEnd"/>
      <w:r w:rsidRPr="00AD5BFA">
        <w:rPr>
          <w:rFonts w:ascii="Times New Roman" w:hAnsi="Times New Roman"/>
          <w:spacing w:val="-2"/>
          <w:szCs w:val="22"/>
        </w:rPr>
        <w:t xml:space="preserve"> following criteria:</w:t>
      </w:r>
    </w:p>
    <w:p w14:paraId="740E4F38" w14:textId="77777777" w:rsidR="001542F2" w:rsidRPr="00AD5BFA" w:rsidRDefault="001542F2" w:rsidP="001542F2">
      <w:pPr>
        <w:suppressAutoHyphens/>
        <w:jc w:val="both"/>
        <w:rPr>
          <w:rFonts w:ascii="Times New Roman" w:hAnsi="Times New Roman"/>
          <w:spacing w:val="-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8"/>
        <w:gridCol w:w="5369"/>
        <w:gridCol w:w="1111"/>
        <w:gridCol w:w="892"/>
      </w:tblGrid>
      <w:tr w:rsidR="009D13BB" w:rsidRPr="00AD5BFA" w14:paraId="3CE9E33A" w14:textId="0114FD79" w:rsidTr="009202AC">
        <w:trPr>
          <w:trHeight w:val="235"/>
          <w:tblHeader/>
        </w:trPr>
        <w:tc>
          <w:tcPr>
            <w:tcW w:w="4523" w:type="pct"/>
            <w:gridSpan w:val="3"/>
            <w:shd w:val="clear" w:color="auto" w:fill="D9D9D9" w:themeFill="background1" w:themeFillShade="D9"/>
            <w:tcMar>
              <w:top w:w="0" w:type="dxa"/>
              <w:left w:w="108" w:type="dxa"/>
              <w:bottom w:w="0" w:type="dxa"/>
              <w:right w:w="108" w:type="dxa"/>
            </w:tcMar>
          </w:tcPr>
          <w:p w14:paraId="64020796" w14:textId="77777777" w:rsidR="009D13BB" w:rsidRPr="00AD5BFA" w:rsidRDefault="009D13BB" w:rsidP="001D3F5E">
            <w:pPr>
              <w:autoSpaceDE w:val="0"/>
              <w:autoSpaceDN w:val="0"/>
              <w:jc w:val="center"/>
              <w:rPr>
                <w:rFonts w:ascii="Times New Roman" w:hAnsi="Times New Roman"/>
                <w:b/>
                <w:color w:val="000000"/>
                <w:szCs w:val="22"/>
              </w:rPr>
            </w:pPr>
            <w:r w:rsidRPr="00AD5BFA">
              <w:rPr>
                <w:rFonts w:ascii="Times New Roman" w:hAnsi="Times New Roman"/>
                <w:b/>
                <w:color w:val="000000"/>
                <w:szCs w:val="22"/>
              </w:rPr>
              <w:t>Evaluation Criteria</w:t>
            </w:r>
          </w:p>
        </w:tc>
        <w:tc>
          <w:tcPr>
            <w:tcW w:w="477" w:type="pct"/>
            <w:shd w:val="clear" w:color="auto" w:fill="D9D9D9" w:themeFill="background1" w:themeFillShade="D9"/>
          </w:tcPr>
          <w:p w14:paraId="1D4CBA9D" w14:textId="77777777" w:rsidR="009D13BB" w:rsidRPr="00AD5BFA" w:rsidRDefault="009D13BB" w:rsidP="001D3F5E">
            <w:pPr>
              <w:autoSpaceDE w:val="0"/>
              <w:autoSpaceDN w:val="0"/>
              <w:jc w:val="center"/>
              <w:rPr>
                <w:rFonts w:ascii="Times New Roman" w:hAnsi="Times New Roman"/>
                <w:b/>
                <w:color w:val="000000"/>
                <w:szCs w:val="22"/>
              </w:rPr>
            </w:pPr>
          </w:p>
        </w:tc>
      </w:tr>
      <w:tr w:rsidR="009D13BB" w:rsidRPr="00AD5BFA" w14:paraId="59ED7527" w14:textId="239FE098" w:rsidTr="009202AC">
        <w:trPr>
          <w:trHeight w:val="235"/>
          <w:tblHeader/>
        </w:trPr>
        <w:tc>
          <w:tcPr>
            <w:tcW w:w="1058" w:type="pct"/>
            <w:shd w:val="clear" w:color="auto" w:fill="D9D9D9" w:themeFill="background1" w:themeFillShade="D9"/>
            <w:tcMar>
              <w:top w:w="0" w:type="dxa"/>
              <w:left w:w="108" w:type="dxa"/>
              <w:bottom w:w="0" w:type="dxa"/>
              <w:right w:w="108" w:type="dxa"/>
            </w:tcMar>
            <w:vAlign w:val="center"/>
            <w:hideMark/>
          </w:tcPr>
          <w:p w14:paraId="73BF0AD3" w14:textId="77777777" w:rsidR="009D13BB" w:rsidRPr="00AD5BFA" w:rsidRDefault="009D13BB" w:rsidP="00EA0378">
            <w:pPr>
              <w:autoSpaceDE w:val="0"/>
              <w:autoSpaceDN w:val="0"/>
              <w:jc w:val="center"/>
              <w:rPr>
                <w:rFonts w:ascii="Times New Roman" w:hAnsi="Times New Roman"/>
                <w:b/>
                <w:color w:val="000000"/>
                <w:szCs w:val="22"/>
              </w:rPr>
            </w:pPr>
            <w:r w:rsidRPr="00AD5BFA">
              <w:rPr>
                <w:rFonts w:ascii="Times New Roman" w:hAnsi="Times New Roman"/>
                <w:b/>
                <w:color w:val="000000"/>
                <w:szCs w:val="22"/>
              </w:rPr>
              <w:t>Criteria</w:t>
            </w:r>
          </w:p>
        </w:tc>
        <w:tc>
          <w:tcPr>
            <w:tcW w:w="2871" w:type="pct"/>
            <w:shd w:val="clear" w:color="auto" w:fill="D9D9D9" w:themeFill="background1" w:themeFillShade="D9"/>
            <w:tcMar>
              <w:top w:w="0" w:type="dxa"/>
              <w:left w:w="108" w:type="dxa"/>
              <w:bottom w:w="0" w:type="dxa"/>
              <w:right w:w="108" w:type="dxa"/>
            </w:tcMar>
            <w:vAlign w:val="center"/>
            <w:hideMark/>
          </w:tcPr>
          <w:p w14:paraId="030F29EE" w14:textId="77777777" w:rsidR="009D13BB" w:rsidRPr="00AD5BFA" w:rsidRDefault="009D13BB" w:rsidP="00EA0378">
            <w:pPr>
              <w:autoSpaceDE w:val="0"/>
              <w:autoSpaceDN w:val="0"/>
              <w:jc w:val="center"/>
              <w:rPr>
                <w:rFonts w:ascii="Times New Roman" w:hAnsi="Times New Roman"/>
                <w:b/>
                <w:color w:val="000000"/>
                <w:szCs w:val="22"/>
              </w:rPr>
            </w:pPr>
            <w:r w:rsidRPr="00AD5BFA">
              <w:rPr>
                <w:rFonts w:ascii="Times New Roman" w:hAnsi="Times New Roman"/>
                <w:b/>
                <w:color w:val="000000"/>
                <w:szCs w:val="22"/>
              </w:rPr>
              <w:t>Benchmarks</w:t>
            </w:r>
          </w:p>
        </w:tc>
        <w:tc>
          <w:tcPr>
            <w:tcW w:w="594" w:type="pct"/>
            <w:shd w:val="clear" w:color="auto" w:fill="D9D9D9" w:themeFill="background1" w:themeFillShade="D9"/>
            <w:vAlign w:val="center"/>
          </w:tcPr>
          <w:p w14:paraId="77C84AE0" w14:textId="77777777" w:rsidR="009D13BB" w:rsidRPr="00AD5BFA" w:rsidRDefault="009D13BB" w:rsidP="00EA0378">
            <w:pPr>
              <w:autoSpaceDE w:val="0"/>
              <w:autoSpaceDN w:val="0"/>
              <w:jc w:val="center"/>
              <w:rPr>
                <w:rFonts w:ascii="Times New Roman" w:hAnsi="Times New Roman"/>
                <w:b/>
                <w:color w:val="000000"/>
                <w:szCs w:val="22"/>
              </w:rPr>
            </w:pPr>
            <w:r w:rsidRPr="00AD5BFA">
              <w:rPr>
                <w:rFonts w:ascii="Times New Roman" w:hAnsi="Times New Roman"/>
                <w:b/>
                <w:color w:val="000000"/>
                <w:szCs w:val="22"/>
              </w:rPr>
              <w:t>Allocated Points</w:t>
            </w:r>
          </w:p>
        </w:tc>
        <w:tc>
          <w:tcPr>
            <w:tcW w:w="477" w:type="pct"/>
            <w:shd w:val="clear" w:color="auto" w:fill="D9D9D9" w:themeFill="background1" w:themeFillShade="D9"/>
            <w:vAlign w:val="center"/>
          </w:tcPr>
          <w:p w14:paraId="4777F81B" w14:textId="758BE931" w:rsidR="009D13BB" w:rsidRPr="00AD5BFA" w:rsidRDefault="00FC5C99" w:rsidP="00EA0378">
            <w:pPr>
              <w:autoSpaceDE w:val="0"/>
              <w:autoSpaceDN w:val="0"/>
              <w:jc w:val="center"/>
              <w:rPr>
                <w:rFonts w:ascii="Times New Roman" w:hAnsi="Times New Roman"/>
                <w:b/>
                <w:color w:val="000000"/>
                <w:szCs w:val="22"/>
              </w:rPr>
            </w:pPr>
            <w:r w:rsidRPr="00AD5BFA">
              <w:rPr>
                <w:rFonts w:ascii="Times New Roman" w:hAnsi="Times New Roman"/>
                <w:b/>
                <w:color w:val="000000"/>
                <w:szCs w:val="22"/>
              </w:rPr>
              <w:t xml:space="preserve">Max # of </w:t>
            </w:r>
            <w:r w:rsidR="009D13BB" w:rsidRPr="00AD5BFA">
              <w:rPr>
                <w:rFonts w:ascii="Times New Roman" w:hAnsi="Times New Roman"/>
                <w:b/>
                <w:color w:val="000000"/>
                <w:szCs w:val="22"/>
              </w:rPr>
              <w:t>Pages</w:t>
            </w:r>
          </w:p>
        </w:tc>
      </w:tr>
      <w:tr w:rsidR="009D13BB" w:rsidRPr="00AD5BFA" w14:paraId="34325FCE" w14:textId="6075ED93" w:rsidTr="009202AC">
        <w:trPr>
          <w:trHeight w:val="691"/>
        </w:trPr>
        <w:tc>
          <w:tcPr>
            <w:tcW w:w="1058" w:type="pct"/>
            <w:tcMar>
              <w:top w:w="0" w:type="dxa"/>
              <w:left w:w="108" w:type="dxa"/>
              <w:bottom w:w="0" w:type="dxa"/>
              <w:right w:w="108" w:type="dxa"/>
            </w:tcMar>
            <w:hideMark/>
          </w:tcPr>
          <w:p w14:paraId="05B43ACE" w14:textId="77777777" w:rsidR="009D13BB" w:rsidRPr="00AD5BFA" w:rsidRDefault="009D13BB" w:rsidP="001D3F5E">
            <w:pPr>
              <w:numPr>
                <w:ilvl w:val="0"/>
                <w:numId w:val="9"/>
              </w:numPr>
              <w:autoSpaceDE w:val="0"/>
              <w:autoSpaceDN w:val="0"/>
              <w:contextualSpacing/>
              <w:jc w:val="both"/>
              <w:rPr>
                <w:rFonts w:ascii="Times New Roman" w:eastAsia="Calibri" w:hAnsi="Times New Roman"/>
                <w:b/>
                <w:color w:val="000000"/>
                <w:szCs w:val="22"/>
              </w:rPr>
            </w:pPr>
            <w:r w:rsidRPr="00AD5BFA">
              <w:rPr>
                <w:rFonts w:ascii="Times New Roman" w:eastAsia="Calibri" w:hAnsi="Times New Roman"/>
                <w:b/>
                <w:color w:val="000000"/>
                <w:szCs w:val="22"/>
              </w:rPr>
              <w:t>Registration with Government</w:t>
            </w:r>
          </w:p>
        </w:tc>
        <w:tc>
          <w:tcPr>
            <w:tcW w:w="2871" w:type="pct"/>
            <w:tcMar>
              <w:top w:w="0" w:type="dxa"/>
              <w:left w:w="108" w:type="dxa"/>
              <w:bottom w:w="0" w:type="dxa"/>
              <w:right w:w="108" w:type="dxa"/>
            </w:tcMar>
            <w:hideMark/>
          </w:tcPr>
          <w:p w14:paraId="6E4097F2" w14:textId="76AAEF12" w:rsidR="009D13BB" w:rsidRPr="00AD5BFA" w:rsidRDefault="009D13BB" w:rsidP="001D3F5E">
            <w:pPr>
              <w:pStyle w:val="Default"/>
              <w:jc w:val="both"/>
              <w:rPr>
                <w:rFonts w:ascii="Times New Roman" w:hAnsi="Times New Roman"/>
                <w:sz w:val="22"/>
                <w:szCs w:val="22"/>
              </w:rPr>
            </w:pPr>
            <w:r w:rsidRPr="00AD5BFA">
              <w:rPr>
                <w:rFonts w:ascii="Times New Roman" w:hAnsi="Times New Roman"/>
                <w:sz w:val="22"/>
                <w:szCs w:val="22"/>
              </w:rPr>
              <w:t>The firm must be registered with any appropriate authority. The certificate of incorporation or the certificate of commencement of business should be provided. Valid NTN</w:t>
            </w:r>
            <w:r w:rsidR="002947E4" w:rsidRPr="00AD5BFA">
              <w:rPr>
                <w:rFonts w:ascii="Times New Roman" w:hAnsi="Times New Roman"/>
                <w:sz w:val="22"/>
                <w:szCs w:val="22"/>
              </w:rPr>
              <w:t xml:space="preserve"> certificate</w:t>
            </w:r>
            <w:r w:rsidRPr="00AD5BFA">
              <w:rPr>
                <w:rFonts w:ascii="Times New Roman" w:hAnsi="Times New Roman"/>
                <w:sz w:val="22"/>
                <w:szCs w:val="22"/>
              </w:rPr>
              <w:t xml:space="preserve"> (to be attached with EOI)</w:t>
            </w:r>
          </w:p>
        </w:tc>
        <w:tc>
          <w:tcPr>
            <w:tcW w:w="594" w:type="pct"/>
          </w:tcPr>
          <w:p w14:paraId="3F121813" w14:textId="53C9FEAE" w:rsidR="009D13BB" w:rsidRPr="00AD5BFA" w:rsidRDefault="00CC4244" w:rsidP="001D3F5E">
            <w:pPr>
              <w:jc w:val="center"/>
              <w:rPr>
                <w:rFonts w:ascii="Times New Roman" w:hAnsi="Times New Roman"/>
                <w:color w:val="000000"/>
                <w:szCs w:val="22"/>
              </w:rPr>
            </w:pPr>
            <w:r w:rsidRPr="00AD5BFA">
              <w:rPr>
                <w:rFonts w:ascii="Times New Roman" w:hAnsi="Times New Roman"/>
                <w:color w:val="000000"/>
                <w:szCs w:val="22"/>
              </w:rPr>
              <w:t>5</w:t>
            </w:r>
          </w:p>
        </w:tc>
        <w:tc>
          <w:tcPr>
            <w:tcW w:w="477" w:type="pct"/>
          </w:tcPr>
          <w:p w14:paraId="272806C2" w14:textId="073C29C3" w:rsidR="009D13BB" w:rsidRPr="00AD5BFA" w:rsidRDefault="00622CB5" w:rsidP="001D3F5E">
            <w:pPr>
              <w:jc w:val="center"/>
              <w:rPr>
                <w:rFonts w:ascii="Times New Roman" w:hAnsi="Times New Roman"/>
                <w:color w:val="000000"/>
                <w:szCs w:val="22"/>
              </w:rPr>
            </w:pPr>
            <w:r w:rsidRPr="00AD5BFA">
              <w:rPr>
                <w:rFonts w:ascii="Times New Roman" w:hAnsi="Times New Roman"/>
                <w:color w:val="000000"/>
                <w:szCs w:val="22"/>
              </w:rPr>
              <w:t>1-</w:t>
            </w:r>
            <w:r w:rsidR="009D13BB" w:rsidRPr="00AD5BFA">
              <w:rPr>
                <w:rFonts w:ascii="Times New Roman" w:hAnsi="Times New Roman"/>
                <w:color w:val="000000"/>
                <w:szCs w:val="22"/>
              </w:rPr>
              <w:t>2</w:t>
            </w:r>
          </w:p>
        </w:tc>
      </w:tr>
      <w:tr w:rsidR="009D13BB" w:rsidRPr="00AD5BFA" w14:paraId="35AB92A0" w14:textId="4597F899" w:rsidTr="009202AC">
        <w:trPr>
          <w:trHeight w:val="691"/>
        </w:trPr>
        <w:tc>
          <w:tcPr>
            <w:tcW w:w="1058" w:type="pct"/>
            <w:tcMar>
              <w:top w:w="0" w:type="dxa"/>
              <w:left w:w="108" w:type="dxa"/>
              <w:bottom w:w="0" w:type="dxa"/>
              <w:right w:w="108" w:type="dxa"/>
            </w:tcMar>
          </w:tcPr>
          <w:p w14:paraId="0B921F95" w14:textId="77777777" w:rsidR="009D13BB" w:rsidRPr="00AD5BFA" w:rsidRDefault="009D13BB" w:rsidP="001D3F5E">
            <w:pPr>
              <w:numPr>
                <w:ilvl w:val="0"/>
                <w:numId w:val="9"/>
              </w:numPr>
              <w:autoSpaceDE w:val="0"/>
              <w:autoSpaceDN w:val="0"/>
              <w:contextualSpacing/>
              <w:jc w:val="both"/>
              <w:rPr>
                <w:rFonts w:ascii="Times New Roman" w:eastAsia="Calibri" w:hAnsi="Times New Roman"/>
                <w:b/>
                <w:color w:val="000000"/>
                <w:szCs w:val="22"/>
              </w:rPr>
            </w:pPr>
            <w:r w:rsidRPr="00AD5BFA">
              <w:rPr>
                <w:rFonts w:ascii="Times New Roman" w:eastAsia="Calibri" w:hAnsi="Times New Roman"/>
                <w:b/>
                <w:color w:val="000000"/>
                <w:szCs w:val="22"/>
              </w:rPr>
              <w:t>Relevant Experience &amp; Assignments</w:t>
            </w:r>
          </w:p>
        </w:tc>
        <w:tc>
          <w:tcPr>
            <w:tcW w:w="2871" w:type="pct"/>
            <w:tcMar>
              <w:top w:w="0" w:type="dxa"/>
              <w:left w:w="108" w:type="dxa"/>
              <w:bottom w:w="0" w:type="dxa"/>
              <w:right w:w="108" w:type="dxa"/>
            </w:tcMar>
          </w:tcPr>
          <w:p w14:paraId="0F9CA06B" w14:textId="0CAC005B" w:rsidR="00852ACE" w:rsidRPr="00AD5BFA" w:rsidRDefault="00F45222" w:rsidP="005506CD">
            <w:pPr>
              <w:pStyle w:val="ListParagraph"/>
              <w:numPr>
                <w:ilvl w:val="0"/>
                <w:numId w:val="29"/>
              </w:numPr>
              <w:contextualSpacing/>
              <w:jc w:val="both"/>
              <w:rPr>
                <w:rFonts w:ascii="Times New Roman" w:hAnsi="Times New Roman"/>
              </w:rPr>
            </w:pPr>
            <w:r w:rsidRPr="00AD5BFA">
              <w:rPr>
                <w:rFonts w:ascii="Times New Roman" w:hAnsi="Times New Roman"/>
              </w:rPr>
              <w:t>A company registered in Pakistan with at least 10 years of proven experience in formulating institutional policies and strategies, conducting assessments and evaluations, situational analyses, outcome surveys, and impact assessment studies regarding integrated poverty alleviation and community development programming.</w:t>
            </w:r>
            <w:r w:rsidR="000C0280" w:rsidRPr="00AD5BFA">
              <w:rPr>
                <w:rFonts w:ascii="Times New Roman" w:hAnsi="Times New Roman"/>
              </w:rPr>
              <w:t xml:space="preserve"> </w:t>
            </w:r>
            <w:r w:rsidR="001B5936" w:rsidRPr="00AD5BFA">
              <w:rPr>
                <w:rFonts w:ascii="Times New Roman" w:hAnsi="Times New Roman"/>
                <w:color w:val="000000" w:themeColor="text1"/>
              </w:rPr>
              <w:t>(</w:t>
            </w:r>
            <w:r w:rsidR="00ED6D13" w:rsidRPr="00AD5BFA">
              <w:rPr>
                <w:rFonts w:ascii="Times New Roman" w:hAnsi="Times New Roman"/>
                <w:color w:val="000000" w:themeColor="text1"/>
              </w:rPr>
              <w:t>08</w:t>
            </w:r>
            <w:r w:rsidR="001B5936" w:rsidRPr="00AD5BFA">
              <w:rPr>
                <w:rFonts w:ascii="Times New Roman" w:hAnsi="Times New Roman"/>
                <w:color w:val="000000" w:themeColor="text1"/>
              </w:rPr>
              <w:t xml:space="preserve"> </w:t>
            </w:r>
            <w:r w:rsidR="00B735EC" w:rsidRPr="00AD5BFA">
              <w:rPr>
                <w:rFonts w:ascii="Times New Roman" w:hAnsi="Times New Roman"/>
                <w:color w:val="000000" w:themeColor="text1"/>
              </w:rPr>
              <w:t xml:space="preserve"> </w:t>
            </w:r>
            <w:r w:rsidR="000D0B4D" w:rsidRPr="00AD5BFA">
              <w:rPr>
                <w:rFonts w:ascii="Times New Roman" w:hAnsi="Times New Roman"/>
                <w:color w:val="000000" w:themeColor="text1"/>
              </w:rPr>
              <w:t xml:space="preserve">  </w:t>
            </w:r>
            <w:r w:rsidR="001B5936" w:rsidRPr="00AD5BFA">
              <w:rPr>
                <w:rFonts w:ascii="Times New Roman" w:hAnsi="Times New Roman"/>
                <w:color w:val="000000" w:themeColor="text1"/>
              </w:rPr>
              <w:t>marks)</w:t>
            </w:r>
          </w:p>
          <w:p w14:paraId="06F663D8" w14:textId="7CC7EF26" w:rsidR="00E24737" w:rsidRPr="00AD5BFA" w:rsidRDefault="00E24737" w:rsidP="005506CD">
            <w:pPr>
              <w:pStyle w:val="ListParagraph"/>
              <w:numPr>
                <w:ilvl w:val="0"/>
                <w:numId w:val="29"/>
              </w:numPr>
              <w:spacing w:after="0" w:line="240" w:lineRule="auto"/>
              <w:contextualSpacing/>
              <w:jc w:val="both"/>
              <w:rPr>
                <w:rFonts w:ascii="Times New Roman" w:hAnsi="Times New Roman"/>
              </w:rPr>
            </w:pPr>
            <w:r w:rsidRPr="00AD5BFA">
              <w:rPr>
                <w:rFonts w:ascii="Times New Roman" w:hAnsi="Times New Roman"/>
              </w:rPr>
              <w:t>Experience in conducting at least two (2) similar assignments, verifiable through references from previous clients and final outputs.</w:t>
            </w:r>
            <w:r w:rsidR="00ED6D13" w:rsidRPr="00AD5BFA">
              <w:rPr>
                <w:rFonts w:ascii="Times New Roman" w:hAnsi="Times New Roman"/>
              </w:rPr>
              <w:t xml:space="preserve"> </w:t>
            </w:r>
            <w:r w:rsidR="00ED6D13" w:rsidRPr="00AD5BFA">
              <w:rPr>
                <w:rFonts w:ascii="Times New Roman" w:hAnsi="Times New Roman"/>
                <w:color w:val="000000" w:themeColor="text1"/>
              </w:rPr>
              <w:t>(06    marks)</w:t>
            </w:r>
          </w:p>
          <w:p w14:paraId="35611768" w14:textId="65D69760" w:rsidR="00E24737" w:rsidRPr="00AD5BFA" w:rsidRDefault="00E24737" w:rsidP="005506CD">
            <w:pPr>
              <w:pStyle w:val="ListParagraph"/>
              <w:numPr>
                <w:ilvl w:val="0"/>
                <w:numId w:val="29"/>
              </w:numPr>
              <w:spacing w:after="0" w:line="240" w:lineRule="auto"/>
              <w:contextualSpacing/>
              <w:jc w:val="both"/>
              <w:rPr>
                <w:rFonts w:ascii="Times New Roman" w:hAnsi="Times New Roman"/>
              </w:rPr>
            </w:pPr>
            <w:r w:rsidRPr="00AD5BFA">
              <w:rPr>
                <w:rFonts w:ascii="Times New Roman" w:hAnsi="Times New Roman"/>
              </w:rPr>
              <w:t>Proficiency in applying global standards, guidelines, and approaches to qualitative and quantitative assessment/ surveys/ research studies/ evaluations.</w:t>
            </w:r>
            <w:r w:rsidR="00ED6D13" w:rsidRPr="00AD5BFA">
              <w:rPr>
                <w:rFonts w:ascii="Times New Roman" w:hAnsi="Times New Roman"/>
              </w:rPr>
              <w:t xml:space="preserve"> </w:t>
            </w:r>
            <w:r w:rsidR="00ED6D13" w:rsidRPr="00AD5BFA">
              <w:rPr>
                <w:rFonts w:ascii="Times New Roman" w:hAnsi="Times New Roman"/>
                <w:color w:val="000000" w:themeColor="text1"/>
              </w:rPr>
              <w:t>(06    marks)</w:t>
            </w:r>
          </w:p>
          <w:p w14:paraId="68CBC4A0" w14:textId="4A1A76C6" w:rsidR="00E24737" w:rsidRPr="00AD5BFA" w:rsidRDefault="00E24737" w:rsidP="005506CD">
            <w:pPr>
              <w:pStyle w:val="ListParagraph"/>
              <w:numPr>
                <w:ilvl w:val="0"/>
                <w:numId w:val="29"/>
              </w:numPr>
              <w:spacing w:after="0" w:line="240" w:lineRule="auto"/>
              <w:contextualSpacing/>
              <w:jc w:val="both"/>
              <w:rPr>
                <w:rFonts w:ascii="Times New Roman" w:hAnsi="Times New Roman"/>
              </w:rPr>
            </w:pPr>
            <w:r w:rsidRPr="00AD5BFA">
              <w:rPr>
                <w:rFonts w:ascii="Times New Roman" w:hAnsi="Times New Roman"/>
              </w:rPr>
              <w:t>A strong track record in reviewing integrated approaches to poverty alleviation.</w:t>
            </w:r>
            <w:r w:rsidR="00EB5868" w:rsidRPr="00AD5BFA">
              <w:rPr>
                <w:rFonts w:ascii="Times New Roman" w:hAnsi="Times New Roman"/>
              </w:rPr>
              <w:t xml:space="preserve"> </w:t>
            </w:r>
            <w:r w:rsidR="00EB5868" w:rsidRPr="00AD5BFA">
              <w:rPr>
                <w:rFonts w:ascii="Times New Roman" w:hAnsi="Times New Roman"/>
                <w:color w:val="000000" w:themeColor="text1"/>
              </w:rPr>
              <w:t>(05    marks)</w:t>
            </w:r>
          </w:p>
          <w:p w14:paraId="6C4311C7" w14:textId="7AE722A3" w:rsidR="00E24737" w:rsidRPr="00AD5BFA" w:rsidRDefault="00E24737" w:rsidP="005506CD">
            <w:pPr>
              <w:pStyle w:val="ListParagraph"/>
              <w:numPr>
                <w:ilvl w:val="0"/>
                <w:numId w:val="29"/>
              </w:numPr>
              <w:spacing w:after="0" w:line="240" w:lineRule="auto"/>
              <w:contextualSpacing/>
              <w:jc w:val="both"/>
              <w:rPr>
                <w:rFonts w:ascii="Times New Roman" w:hAnsi="Times New Roman"/>
              </w:rPr>
            </w:pPr>
            <w:r w:rsidRPr="00AD5BFA">
              <w:rPr>
                <w:rFonts w:ascii="Times New Roman" w:hAnsi="Times New Roman"/>
              </w:rPr>
              <w:t xml:space="preserve">Expertise in qualitative and quantitative research methods, with detailed experience in evaluations of national/regional economic and social development programmes of comparable scale and complexity. </w:t>
            </w:r>
            <w:r w:rsidR="00EB5868" w:rsidRPr="00AD5BFA">
              <w:rPr>
                <w:rFonts w:ascii="Times New Roman" w:hAnsi="Times New Roman"/>
                <w:color w:val="000000" w:themeColor="text1"/>
              </w:rPr>
              <w:t>(05    marks)</w:t>
            </w:r>
          </w:p>
          <w:p w14:paraId="640DEF75" w14:textId="080F7EB1" w:rsidR="00E24737" w:rsidRPr="00AD5BFA" w:rsidRDefault="00E24737" w:rsidP="005506CD">
            <w:pPr>
              <w:pStyle w:val="ListParagraph"/>
              <w:numPr>
                <w:ilvl w:val="0"/>
                <w:numId w:val="29"/>
              </w:numPr>
              <w:spacing w:after="0" w:line="240" w:lineRule="auto"/>
              <w:contextualSpacing/>
              <w:jc w:val="both"/>
              <w:rPr>
                <w:rFonts w:ascii="Times New Roman" w:hAnsi="Times New Roman"/>
              </w:rPr>
            </w:pPr>
            <w:r w:rsidRPr="00AD5BFA">
              <w:rPr>
                <w:rFonts w:ascii="Times New Roman" w:hAnsi="Times New Roman"/>
              </w:rPr>
              <w:t>Familiarity with project cycle management principles and impact-based project evaluation methods.</w:t>
            </w:r>
            <w:r w:rsidR="00EB5868" w:rsidRPr="00AD5BFA">
              <w:rPr>
                <w:rFonts w:ascii="Times New Roman" w:hAnsi="Times New Roman"/>
              </w:rPr>
              <w:t xml:space="preserve"> </w:t>
            </w:r>
            <w:r w:rsidR="00EB5868" w:rsidRPr="00AD5BFA">
              <w:rPr>
                <w:rFonts w:ascii="Times New Roman" w:hAnsi="Times New Roman"/>
                <w:color w:val="000000" w:themeColor="text1"/>
              </w:rPr>
              <w:t>(05    marks)</w:t>
            </w:r>
          </w:p>
          <w:p w14:paraId="3743E64E" w14:textId="12C25371" w:rsidR="009D13BB" w:rsidRPr="00AD5BFA" w:rsidRDefault="00E24737" w:rsidP="005506CD">
            <w:pPr>
              <w:pStyle w:val="ListParagraph"/>
              <w:numPr>
                <w:ilvl w:val="0"/>
                <w:numId w:val="29"/>
              </w:numPr>
              <w:spacing w:after="0" w:line="240" w:lineRule="auto"/>
              <w:contextualSpacing/>
              <w:jc w:val="both"/>
              <w:rPr>
                <w:rFonts w:ascii="Times New Roman" w:hAnsi="Times New Roman"/>
              </w:rPr>
            </w:pPr>
            <w:r w:rsidRPr="00AD5BFA">
              <w:rPr>
                <w:rFonts w:ascii="Times New Roman" w:hAnsi="Times New Roman"/>
              </w:rPr>
              <w:t>Knowledge of the policy agenda on the economy, local context, and multisectoral development in fragile security situations.</w:t>
            </w:r>
            <w:r w:rsidR="00EB5868" w:rsidRPr="00AD5BFA">
              <w:rPr>
                <w:rFonts w:ascii="Times New Roman" w:hAnsi="Times New Roman"/>
              </w:rPr>
              <w:t xml:space="preserve"> </w:t>
            </w:r>
            <w:r w:rsidR="00EB5868" w:rsidRPr="00AD5BFA">
              <w:rPr>
                <w:rFonts w:ascii="Times New Roman" w:hAnsi="Times New Roman"/>
                <w:color w:val="000000" w:themeColor="text1"/>
              </w:rPr>
              <w:t>(05    marks)</w:t>
            </w:r>
          </w:p>
        </w:tc>
        <w:tc>
          <w:tcPr>
            <w:tcW w:w="594" w:type="pct"/>
          </w:tcPr>
          <w:p w14:paraId="42E71208" w14:textId="27774F11" w:rsidR="009D13BB" w:rsidRPr="00AD5BFA" w:rsidRDefault="00DE79D0" w:rsidP="001D3F5E">
            <w:pPr>
              <w:jc w:val="center"/>
              <w:rPr>
                <w:rFonts w:ascii="Times New Roman" w:hAnsi="Times New Roman"/>
                <w:color w:val="000000"/>
                <w:szCs w:val="22"/>
              </w:rPr>
            </w:pPr>
            <w:r w:rsidRPr="00AD5BFA">
              <w:rPr>
                <w:rFonts w:ascii="Times New Roman" w:hAnsi="Times New Roman"/>
                <w:color w:val="000000"/>
                <w:szCs w:val="22"/>
              </w:rPr>
              <w:t>40</w:t>
            </w:r>
          </w:p>
        </w:tc>
        <w:tc>
          <w:tcPr>
            <w:tcW w:w="477" w:type="pct"/>
          </w:tcPr>
          <w:p w14:paraId="7228E14B" w14:textId="2CB52FFF" w:rsidR="009D13BB" w:rsidRPr="00AD5BFA" w:rsidRDefault="009D13BB" w:rsidP="001D3F5E">
            <w:pPr>
              <w:jc w:val="center"/>
              <w:rPr>
                <w:rFonts w:ascii="Times New Roman" w:hAnsi="Times New Roman"/>
                <w:color w:val="000000"/>
                <w:szCs w:val="22"/>
              </w:rPr>
            </w:pPr>
            <w:r w:rsidRPr="00AD5BFA">
              <w:rPr>
                <w:rFonts w:ascii="Times New Roman" w:hAnsi="Times New Roman"/>
                <w:color w:val="000000"/>
                <w:szCs w:val="22"/>
              </w:rPr>
              <w:t>10-12</w:t>
            </w:r>
          </w:p>
        </w:tc>
      </w:tr>
      <w:tr w:rsidR="009D13BB" w:rsidRPr="00AD5BFA" w14:paraId="2DE2F457" w14:textId="1BDCC9BF" w:rsidTr="009202AC">
        <w:trPr>
          <w:trHeight w:val="691"/>
        </w:trPr>
        <w:tc>
          <w:tcPr>
            <w:tcW w:w="1058" w:type="pct"/>
            <w:tcMar>
              <w:top w:w="0" w:type="dxa"/>
              <w:left w:w="108" w:type="dxa"/>
              <w:bottom w:w="0" w:type="dxa"/>
              <w:right w:w="108" w:type="dxa"/>
            </w:tcMar>
          </w:tcPr>
          <w:p w14:paraId="1224D62D" w14:textId="42398D5A" w:rsidR="009D13BB" w:rsidRPr="00AD5BFA" w:rsidRDefault="009D13BB" w:rsidP="009227DA">
            <w:pPr>
              <w:pStyle w:val="ListParagraph"/>
              <w:numPr>
                <w:ilvl w:val="0"/>
                <w:numId w:val="9"/>
              </w:numPr>
              <w:autoSpaceDE w:val="0"/>
              <w:autoSpaceDN w:val="0"/>
              <w:contextualSpacing/>
              <w:jc w:val="both"/>
              <w:rPr>
                <w:rFonts w:ascii="Times New Roman" w:eastAsia="Calibri" w:hAnsi="Times New Roman"/>
                <w:b/>
                <w:color w:val="000000"/>
              </w:rPr>
            </w:pPr>
            <w:r w:rsidRPr="00AD5BFA">
              <w:rPr>
                <w:rFonts w:ascii="Times New Roman" w:eastAsia="Calibri" w:hAnsi="Times New Roman"/>
                <w:b/>
                <w:color w:val="000000"/>
              </w:rPr>
              <w:t>Geographical Spread</w:t>
            </w:r>
          </w:p>
        </w:tc>
        <w:tc>
          <w:tcPr>
            <w:tcW w:w="2871" w:type="pct"/>
            <w:tcMar>
              <w:top w:w="0" w:type="dxa"/>
              <w:left w:w="108" w:type="dxa"/>
              <w:bottom w:w="0" w:type="dxa"/>
              <w:right w:w="108" w:type="dxa"/>
            </w:tcMar>
          </w:tcPr>
          <w:p w14:paraId="63649BAB" w14:textId="76C6CB7A" w:rsidR="001A64C9" w:rsidRPr="00AD5BFA" w:rsidRDefault="001A64C9" w:rsidP="001A64C9">
            <w:pPr>
              <w:pStyle w:val="ListParagraph"/>
              <w:numPr>
                <w:ilvl w:val="0"/>
                <w:numId w:val="30"/>
              </w:numPr>
              <w:spacing w:after="0" w:line="240" w:lineRule="auto"/>
              <w:contextualSpacing/>
              <w:jc w:val="both"/>
              <w:rPr>
                <w:rFonts w:ascii="Times New Roman" w:hAnsi="Times New Roman"/>
              </w:rPr>
            </w:pPr>
            <w:r w:rsidRPr="00AD5BFA">
              <w:rPr>
                <w:rFonts w:ascii="Times New Roman" w:hAnsi="Times New Roman"/>
              </w:rPr>
              <w:t>Adequate capacity to propose and implement a rigorous mechanism for collecting data remotely in case of field access constraints due to natural disasters, law and order issues, or other security concerns.</w:t>
            </w:r>
            <w:r w:rsidR="00E96148" w:rsidRPr="00AD5BFA">
              <w:rPr>
                <w:rFonts w:ascii="Times New Roman" w:hAnsi="Times New Roman"/>
              </w:rPr>
              <w:t xml:space="preserve"> </w:t>
            </w:r>
            <w:r w:rsidR="00E96148" w:rsidRPr="00AD5BFA">
              <w:rPr>
                <w:rFonts w:ascii="Times New Roman" w:hAnsi="Times New Roman"/>
                <w:color w:val="000000" w:themeColor="text1"/>
              </w:rPr>
              <w:t>(</w:t>
            </w:r>
            <w:r w:rsidR="00254CEE">
              <w:rPr>
                <w:rFonts w:ascii="Times New Roman" w:hAnsi="Times New Roman"/>
                <w:color w:val="000000" w:themeColor="text1"/>
              </w:rPr>
              <w:t>0</w:t>
            </w:r>
            <w:r w:rsidR="00254CEE" w:rsidRPr="00AD5BFA">
              <w:rPr>
                <w:rFonts w:ascii="Times New Roman" w:hAnsi="Times New Roman"/>
                <w:color w:val="000000" w:themeColor="text1"/>
              </w:rPr>
              <w:t xml:space="preserve">5 </w:t>
            </w:r>
            <w:r w:rsidR="00E96148" w:rsidRPr="00AD5BFA">
              <w:rPr>
                <w:rFonts w:ascii="Times New Roman" w:hAnsi="Times New Roman"/>
                <w:color w:val="000000" w:themeColor="text1"/>
              </w:rPr>
              <w:t>marks)</w:t>
            </w:r>
          </w:p>
          <w:p w14:paraId="2A392BDB" w14:textId="0440E8A7" w:rsidR="009D13BB" w:rsidRPr="00AD5BFA" w:rsidRDefault="001A64C9" w:rsidP="009227DA">
            <w:pPr>
              <w:pStyle w:val="ListParagraph"/>
              <w:numPr>
                <w:ilvl w:val="0"/>
                <w:numId w:val="30"/>
              </w:numPr>
              <w:spacing w:after="0" w:line="240" w:lineRule="auto"/>
              <w:contextualSpacing/>
              <w:jc w:val="both"/>
              <w:rPr>
                <w:rFonts w:ascii="Times New Roman" w:hAnsi="Times New Roman"/>
              </w:rPr>
            </w:pPr>
            <w:r w:rsidRPr="00AD5BFA">
              <w:rPr>
                <w:rFonts w:ascii="Times New Roman" w:hAnsi="Times New Roman"/>
              </w:rPr>
              <w:t xml:space="preserve">Well-equipped and logistically appropriate office establishment (preference will be given to firms </w:t>
            </w:r>
            <w:r w:rsidRPr="00AD5BFA">
              <w:rPr>
                <w:rFonts w:ascii="Times New Roman" w:hAnsi="Times New Roman"/>
              </w:rPr>
              <w:lastRenderedPageBreak/>
              <w:t>with a head office or branch office in any of the provinces covered by the assignment).</w:t>
            </w:r>
            <w:r w:rsidR="00E96148" w:rsidRPr="00AD5BFA">
              <w:rPr>
                <w:rFonts w:ascii="Times New Roman" w:hAnsi="Times New Roman"/>
              </w:rPr>
              <w:t xml:space="preserve"> </w:t>
            </w:r>
            <w:r w:rsidR="00E96148" w:rsidRPr="00AD5BFA">
              <w:rPr>
                <w:rFonts w:ascii="Times New Roman" w:hAnsi="Times New Roman"/>
                <w:color w:val="000000" w:themeColor="text1"/>
              </w:rPr>
              <w:t>(0</w:t>
            </w:r>
            <w:r w:rsidR="00254CEE">
              <w:rPr>
                <w:rFonts w:ascii="Times New Roman" w:hAnsi="Times New Roman"/>
                <w:color w:val="000000" w:themeColor="text1"/>
              </w:rPr>
              <w:t>5</w:t>
            </w:r>
            <w:r w:rsidR="00E96148" w:rsidRPr="00AD5BFA">
              <w:rPr>
                <w:rFonts w:ascii="Times New Roman" w:hAnsi="Times New Roman"/>
                <w:color w:val="000000" w:themeColor="text1"/>
              </w:rPr>
              <w:t xml:space="preserve">    marks)</w:t>
            </w:r>
          </w:p>
        </w:tc>
        <w:tc>
          <w:tcPr>
            <w:tcW w:w="594" w:type="pct"/>
          </w:tcPr>
          <w:p w14:paraId="6E542A2D" w14:textId="6DEB7CBA" w:rsidR="009D13BB" w:rsidRPr="00AD5BFA" w:rsidRDefault="00254CEE" w:rsidP="001D3F5E">
            <w:pPr>
              <w:jc w:val="center"/>
              <w:rPr>
                <w:rFonts w:ascii="Times New Roman" w:hAnsi="Times New Roman"/>
                <w:color w:val="000000"/>
                <w:szCs w:val="22"/>
              </w:rPr>
            </w:pPr>
            <w:r>
              <w:rPr>
                <w:rFonts w:ascii="Times New Roman" w:hAnsi="Times New Roman"/>
                <w:color w:val="000000"/>
                <w:szCs w:val="22"/>
              </w:rPr>
              <w:lastRenderedPageBreak/>
              <w:t>10</w:t>
            </w:r>
          </w:p>
        </w:tc>
        <w:tc>
          <w:tcPr>
            <w:tcW w:w="477" w:type="pct"/>
          </w:tcPr>
          <w:p w14:paraId="37530C03" w14:textId="26DD88FB" w:rsidR="009D13BB" w:rsidRPr="00AD5BFA" w:rsidRDefault="009D13BB" w:rsidP="001D3F5E">
            <w:pPr>
              <w:jc w:val="center"/>
              <w:rPr>
                <w:rFonts w:ascii="Times New Roman" w:hAnsi="Times New Roman"/>
                <w:color w:val="000000"/>
                <w:szCs w:val="22"/>
              </w:rPr>
            </w:pPr>
            <w:r w:rsidRPr="00AD5BFA">
              <w:rPr>
                <w:rFonts w:ascii="Times New Roman" w:hAnsi="Times New Roman"/>
                <w:color w:val="000000"/>
                <w:szCs w:val="22"/>
              </w:rPr>
              <w:t>4-5</w:t>
            </w:r>
          </w:p>
        </w:tc>
      </w:tr>
      <w:tr w:rsidR="009D13BB" w:rsidRPr="00AD5BFA" w14:paraId="439D1B68" w14:textId="0800ADA7" w:rsidTr="009202AC">
        <w:trPr>
          <w:trHeight w:val="448"/>
        </w:trPr>
        <w:tc>
          <w:tcPr>
            <w:tcW w:w="1058" w:type="pct"/>
            <w:tcMar>
              <w:top w:w="0" w:type="dxa"/>
              <w:left w:w="108" w:type="dxa"/>
              <w:bottom w:w="0" w:type="dxa"/>
              <w:right w:w="108" w:type="dxa"/>
            </w:tcMar>
          </w:tcPr>
          <w:p w14:paraId="76C467F9" w14:textId="2B52948B" w:rsidR="009D13BB" w:rsidRPr="00AD5BFA" w:rsidRDefault="009D13BB" w:rsidP="009227DA">
            <w:pPr>
              <w:pStyle w:val="ListParagraph"/>
              <w:numPr>
                <w:ilvl w:val="0"/>
                <w:numId w:val="9"/>
              </w:numPr>
              <w:contextualSpacing/>
              <w:jc w:val="both"/>
              <w:rPr>
                <w:rFonts w:ascii="Times New Roman" w:eastAsia="Calibri" w:hAnsi="Times New Roman"/>
                <w:b/>
                <w:color w:val="000000"/>
              </w:rPr>
            </w:pPr>
            <w:r w:rsidRPr="00AD5BFA">
              <w:rPr>
                <w:rFonts w:ascii="Times New Roman" w:eastAsia="Calibri" w:hAnsi="Times New Roman"/>
                <w:b/>
                <w:color w:val="000000"/>
              </w:rPr>
              <w:t>Associated Human Resources</w:t>
            </w:r>
          </w:p>
        </w:tc>
        <w:tc>
          <w:tcPr>
            <w:tcW w:w="2871" w:type="pct"/>
            <w:tcMar>
              <w:top w:w="0" w:type="dxa"/>
              <w:left w:w="108" w:type="dxa"/>
              <w:bottom w:w="0" w:type="dxa"/>
              <w:right w:w="108" w:type="dxa"/>
            </w:tcMar>
          </w:tcPr>
          <w:p w14:paraId="67D5A867" w14:textId="6CBFB7EE" w:rsidR="00986C11" w:rsidRPr="00AD5BFA" w:rsidRDefault="00FC5C99" w:rsidP="00730F6B">
            <w:pPr>
              <w:jc w:val="both"/>
              <w:rPr>
                <w:rFonts w:ascii="Times New Roman" w:hAnsi="Times New Roman"/>
                <w:szCs w:val="22"/>
              </w:rPr>
            </w:pPr>
            <w:r w:rsidRPr="00AD5BFA">
              <w:rPr>
                <w:rFonts w:ascii="Times New Roman" w:hAnsi="Times New Roman"/>
                <w:szCs w:val="22"/>
              </w:rPr>
              <w:t>Provide list of professional staff along with CV</w:t>
            </w:r>
            <w:r w:rsidR="00254CEE">
              <w:rPr>
                <w:rFonts w:ascii="Times New Roman" w:hAnsi="Times New Roman"/>
                <w:szCs w:val="22"/>
              </w:rPr>
              <w:t>s</w:t>
            </w:r>
            <w:r w:rsidR="007D0C7F" w:rsidRPr="00AD5BFA">
              <w:rPr>
                <w:rFonts w:ascii="Times New Roman" w:hAnsi="Times New Roman"/>
                <w:szCs w:val="22"/>
              </w:rPr>
              <w:t xml:space="preserve"> (</w:t>
            </w:r>
            <w:r w:rsidR="00254CEE">
              <w:rPr>
                <w:rFonts w:ascii="Times New Roman" w:hAnsi="Times New Roman"/>
                <w:szCs w:val="22"/>
              </w:rPr>
              <w:t>40</w:t>
            </w:r>
            <w:r w:rsidR="00254CEE" w:rsidRPr="00AD5BFA">
              <w:rPr>
                <w:rFonts w:ascii="Times New Roman" w:hAnsi="Times New Roman"/>
                <w:szCs w:val="22"/>
              </w:rPr>
              <w:t xml:space="preserve"> </w:t>
            </w:r>
            <w:r w:rsidR="007D0C7F" w:rsidRPr="00AD5BFA">
              <w:rPr>
                <w:rFonts w:ascii="Times New Roman" w:hAnsi="Times New Roman"/>
                <w:szCs w:val="22"/>
              </w:rPr>
              <w:t>marks)</w:t>
            </w:r>
            <w:r w:rsidRPr="00AD5BFA">
              <w:rPr>
                <w:rFonts w:ascii="Times New Roman" w:hAnsi="Times New Roman"/>
                <w:szCs w:val="22"/>
              </w:rPr>
              <w:t xml:space="preserve">. </w:t>
            </w:r>
            <w:r w:rsidR="009D13BB" w:rsidRPr="00AD5BFA">
              <w:rPr>
                <w:rFonts w:ascii="Times New Roman" w:hAnsi="Times New Roman"/>
                <w:szCs w:val="22"/>
              </w:rPr>
              <w:t>Also provide organogram of the organization</w:t>
            </w:r>
            <w:r w:rsidR="007D0C7F" w:rsidRPr="00AD5BFA">
              <w:rPr>
                <w:rFonts w:ascii="Times New Roman" w:hAnsi="Times New Roman"/>
                <w:szCs w:val="22"/>
              </w:rPr>
              <w:t xml:space="preserve"> (05 marks)</w:t>
            </w:r>
            <w:r w:rsidR="009D13BB" w:rsidRPr="00AD5BFA">
              <w:rPr>
                <w:rFonts w:ascii="Times New Roman" w:hAnsi="Times New Roman"/>
                <w:szCs w:val="22"/>
              </w:rPr>
              <w:t>.</w:t>
            </w:r>
          </w:p>
        </w:tc>
        <w:tc>
          <w:tcPr>
            <w:tcW w:w="594" w:type="pct"/>
          </w:tcPr>
          <w:p w14:paraId="0AAA5575" w14:textId="12002777" w:rsidR="009D13BB" w:rsidRPr="00AD5BFA" w:rsidRDefault="00254CEE" w:rsidP="001D3F5E">
            <w:pPr>
              <w:jc w:val="center"/>
              <w:rPr>
                <w:rFonts w:ascii="Times New Roman" w:hAnsi="Times New Roman"/>
                <w:color w:val="000000"/>
                <w:szCs w:val="22"/>
              </w:rPr>
            </w:pPr>
            <w:r>
              <w:rPr>
                <w:rFonts w:ascii="Times New Roman" w:hAnsi="Times New Roman"/>
                <w:color w:val="000000"/>
                <w:szCs w:val="22"/>
              </w:rPr>
              <w:t>45</w:t>
            </w:r>
          </w:p>
        </w:tc>
        <w:tc>
          <w:tcPr>
            <w:tcW w:w="477" w:type="pct"/>
          </w:tcPr>
          <w:p w14:paraId="1D129BFD" w14:textId="56336E99" w:rsidR="009D13BB" w:rsidRPr="00AD5BFA" w:rsidRDefault="00254CEE" w:rsidP="001D3F5E">
            <w:pPr>
              <w:jc w:val="center"/>
              <w:rPr>
                <w:rFonts w:ascii="Times New Roman" w:hAnsi="Times New Roman"/>
                <w:color w:val="000000"/>
                <w:szCs w:val="22"/>
              </w:rPr>
            </w:pPr>
            <w:r w:rsidRPr="00AD5BFA">
              <w:rPr>
                <w:rFonts w:ascii="Times New Roman" w:hAnsi="Times New Roman"/>
                <w:color w:val="000000"/>
                <w:szCs w:val="22"/>
              </w:rPr>
              <w:t>1</w:t>
            </w:r>
            <w:r>
              <w:rPr>
                <w:rFonts w:ascii="Times New Roman" w:hAnsi="Times New Roman"/>
                <w:color w:val="000000"/>
                <w:szCs w:val="22"/>
              </w:rPr>
              <w:t>5</w:t>
            </w:r>
            <w:r w:rsidR="007D0C7F" w:rsidRPr="00AD5BFA">
              <w:rPr>
                <w:rFonts w:ascii="Times New Roman" w:hAnsi="Times New Roman"/>
                <w:color w:val="000000"/>
                <w:szCs w:val="22"/>
              </w:rPr>
              <w:t>-</w:t>
            </w:r>
            <w:r>
              <w:rPr>
                <w:rFonts w:ascii="Times New Roman" w:hAnsi="Times New Roman"/>
                <w:color w:val="000000"/>
                <w:szCs w:val="22"/>
              </w:rPr>
              <w:t>20</w:t>
            </w:r>
          </w:p>
        </w:tc>
      </w:tr>
    </w:tbl>
    <w:p w14:paraId="7D313D91" w14:textId="77777777" w:rsidR="001542F2" w:rsidRPr="00AD5BFA" w:rsidRDefault="001542F2" w:rsidP="001542F2">
      <w:pPr>
        <w:suppressAutoHyphens/>
        <w:jc w:val="both"/>
        <w:rPr>
          <w:rFonts w:ascii="Times New Roman" w:hAnsi="Times New Roman"/>
          <w:spacing w:val="-2"/>
          <w:szCs w:val="22"/>
        </w:rPr>
      </w:pPr>
    </w:p>
    <w:p w14:paraId="6513ED3E" w14:textId="77777777" w:rsidR="001542F2" w:rsidRPr="00AD5BFA" w:rsidRDefault="001542F2" w:rsidP="001542F2">
      <w:pPr>
        <w:suppressAutoHyphens/>
        <w:jc w:val="both"/>
        <w:rPr>
          <w:rFonts w:ascii="Times New Roman" w:hAnsi="Times New Roman"/>
          <w:spacing w:val="-2"/>
          <w:szCs w:val="22"/>
        </w:rPr>
      </w:pPr>
      <w:r w:rsidRPr="00AD5BFA">
        <w:rPr>
          <w:rFonts w:ascii="Times New Roman" w:hAnsi="Times New Roman"/>
          <w:spacing w:val="-2"/>
          <w:szCs w:val="22"/>
        </w:rPr>
        <w:t xml:space="preserve">The firm(s) who would qualify the above criteria would be considered for next step i.e. Shortlisted firm(s) will be invited to submit the technical and financial proposal for the assignment. </w:t>
      </w:r>
    </w:p>
    <w:p w14:paraId="4881503F" w14:textId="77777777" w:rsidR="001542F2" w:rsidRPr="00AD5BFA" w:rsidRDefault="001542F2" w:rsidP="001542F2">
      <w:pPr>
        <w:suppressAutoHyphens/>
        <w:jc w:val="both"/>
        <w:rPr>
          <w:rFonts w:ascii="Times New Roman" w:hAnsi="Times New Roman"/>
          <w:spacing w:val="-2"/>
          <w:szCs w:val="22"/>
        </w:rPr>
      </w:pPr>
    </w:p>
    <w:p w14:paraId="23F049DE" w14:textId="77777777" w:rsidR="001542F2" w:rsidRPr="00AD5BFA" w:rsidRDefault="001542F2" w:rsidP="001542F2">
      <w:pPr>
        <w:suppressAutoHyphens/>
        <w:jc w:val="both"/>
        <w:rPr>
          <w:rFonts w:ascii="Times New Roman" w:hAnsi="Times New Roman"/>
          <w:spacing w:val="-2"/>
          <w:szCs w:val="22"/>
        </w:rPr>
      </w:pPr>
      <w:r w:rsidRPr="00AD5BFA">
        <w:rPr>
          <w:rFonts w:ascii="Times New Roman" w:hAnsi="Times New Roman"/>
          <w:spacing w:val="-2"/>
          <w:szCs w:val="22"/>
        </w:rPr>
        <w:t xml:space="preserve">It is required that consultants provide professional, objective, and impartial advice and </w:t>
      </w:r>
      <w:proofErr w:type="gramStart"/>
      <w:r w:rsidRPr="00AD5BFA">
        <w:rPr>
          <w:rFonts w:ascii="Times New Roman" w:hAnsi="Times New Roman"/>
          <w:spacing w:val="-2"/>
          <w:szCs w:val="22"/>
        </w:rPr>
        <w:t>at all times</w:t>
      </w:r>
      <w:proofErr w:type="gramEnd"/>
      <w:r w:rsidRPr="00AD5BFA">
        <w:rPr>
          <w:rFonts w:ascii="Times New Roman" w:hAnsi="Times New Roman"/>
          <w:spacing w:val="-2"/>
          <w:szCs w:val="22"/>
        </w:rPr>
        <w:t xml:space="preserve"> hold the client’s interest paramount, without any consideration for future work, and that in providing advice they avoid conflicts with other assignments and their own corporate interests. Consultants shall not be hired for any assignment that would </w:t>
      </w:r>
      <w:proofErr w:type="gramStart"/>
      <w:r w:rsidRPr="00AD5BFA">
        <w:rPr>
          <w:rFonts w:ascii="Times New Roman" w:hAnsi="Times New Roman"/>
          <w:spacing w:val="-2"/>
          <w:szCs w:val="22"/>
        </w:rPr>
        <w:t>be in conflict with</w:t>
      </w:r>
      <w:proofErr w:type="gramEnd"/>
      <w:r w:rsidRPr="00AD5BFA">
        <w:rPr>
          <w:rFonts w:ascii="Times New Roman" w:hAnsi="Times New Roman"/>
          <w:spacing w:val="-2"/>
          <w:szCs w:val="22"/>
        </w:rPr>
        <w:t xml:space="preserve"> their prior or current obligations to other clients, or that may place them in a position of being unable to carry out the assignment in the best interest of the Client.</w:t>
      </w:r>
    </w:p>
    <w:p w14:paraId="544EA057" w14:textId="77777777" w:rsidR="001542F2" w:rsidRPr="00AD5BFA" w:rsidRDefault="001542F2" w:rsidP="001542F2">
      <w:pPr>
        <w:suppressAutoHyphens/>
        <w:jc w:val="both"/>
        <w:rPr>
          <w:rFonts w:ascii="Times New Roman" w:hAnsi="Times New Roman"/>
          <w:spacing w:val="-2"/>
          <w:szCs w:val="22"/>
        </w:rPr>
      </w:pPr>
    </w:p>
    <w:p w14:paraId="676A0983" w14:textId="1BE7E188" w:rsidR="001542F2" w:rsidRPr="00AD5BFA" w:rsidRDefault="000B40B7" w:rsidP="001542F2">
      <w:pPr>
        <w:suppressAutoHyphens/>
        <w:jc w:val="both"/>
        <w:rPr>
          <w:rFonts w:ascii="Times New Roman" w:hAnsi="Times New Roman"/>
          <w:spacing w:val="-2"/>
          <w:szCs w:val="22"/>
        </w:rPr>
      </w:pPr>
      <w:r w:rsidRPr="00AD5BFA">
        <w:rPr>
          <w:rFonts w:ascii="Times New Roman" w:hAnsi="Times New Roman"/>
          <w:szCs w:val="22"/>
        </w:rPr>
        <w:t xml:space="preserve">The budget ceiling for </w:t>
      </w:r>
      <w:r w:rsidR="000D7A91" w:rsidRPr="00AD5BFA">
        <w:rPr>
          <w:rFonts w:ascii="Times New Roman" w:hAnsi="Times New Roman"/>
          <w:szCs w:val="22"/>
        </w:rPr>
        <w:t>th</w:t>
      </w:r>
      <w:r w:rsidRPr="00AD5BFA">
        <w:rPr>
          <w:rFonts w:ascii="Times New Roman" w:hAnsi="Times New Roman"/>
          <w:szCs w:val="22"/>
        </w:rPr>
        <w:t>is</w:t>
      </w:r>
      <w:r w:rsidR="000D7A91" w:rsidRPr="00AD5BFA">
        <w:rPr>
          <w:rFonts w:ascii="Times New Roman" w:hAnsi="Times New Roman"/>
          <w:szCs w:val="22"/>
        </w:rPr>
        <w:t xml:space="preserve"> assignment is </w:t>
      </w:r>
      <w:r w:rsidR="000D7A91" w:rsidRPr="00AD5BFA">
        <w:rPr>
          <w:rFonts w:ascii="Times New Roman" w:hAnsi="Times New Roman"/>
          <w:bCs/>
          <w:szCs w:val="22"/>
        </w:rPr>
        <w:t xml:space="preserve">PKR </w:t>
      </w:r>
      <w:r w:rsidR="00EB06A3" w:rsidRPr="00AD5BFA">
        <w:rPr>
          <w:rFonts w:ascii="Times New Roman" w:hAnsi="Times New Roman"/>
          <w:bCs/>
          <w:szCs w:val="22"/>
        </w:rPr>
        <w:t>6</w:t>
      </w:r>
      <w:r w:rsidR="00E534CA" w:rsidRPr="00AD5BFA">
        <w:rPr>
          <w:rFonts w:ascii="Times New Roman" w:hAnsi="Times New Roman"/>
          <w:bCs/>
          <w:szCs w:val="22"/>
        </w:rPr>
        <w:t>.0</w:t>
      </w:r>
      <w:r w:rsidR="000D7A91" w:rsidRPr="00AD5BFA">
        <w:rPr>
          <w:rFonts w:ascii="Times New Roman" w:hAnsi="Times New Roman"/>
          <w:bCs/>
          <w:szCs w:val="22"/>
        </w:rPr>
        <w:t xml:space="preserve"> million (inclusive of all</w:t>
      </w:r>
      <w:r w:rsidR="006015D1" w:rsidRPr="00AD5BFA">
        <w:rPr>
          <w:rFonts w:ascii="Times New Roman" w:hAnsi="Times New Roman"/>
          <w:bCs/>
          <w:szCs w:val="22"/>
        </w:rPr>
        <w:t xml:space="preserve"> applicable</w:t>
      </w:r>
      <w:r w:rsidR="000D7A91" w:rsidRPr="00AD5BFA">
        <w:rPr>
          <w:rFonts w:ascii="Times New Roman" w:hAnsi="Times New Roman"/>
          <w:bCs/>
          <w:szCs w:val="22"/>
        </w:rPr>
        <w:t xml:space="preserve"> taxes)</w:t>
      </w:r>
      <w:r w:rsidR="000D7A91" w:rsidRPr="00AD5BFA">
        <w:rPr>
          <w:rFonts w:ascii="Times New Roman" w:hAnsi="Times New Roman"/>
          <w:color w:val="000000" w:themeColor="text1"/>
          <w:szCs w:val="22"/>
        </w:rPr>
        <w:t>.</w:t>
      </w:r>
      <w:r w:rsidRPr="00AD5BFA">
        <w:rPr>
          <w:rFonts w:ascii="Times New Roman" w:hAnsi="Times New Roman"/>
          <w:color w:val="000000" w:themeColor="text1"/>
          <w:szCs w:val="22"/>
        </w:rPr>
        <w:t xml:space="preserve"> </w:t>
      </w:r>
      <w:r w:rsidR="006015D1" w:rsidRPr="00AD5BFA">
        <w:rPr>
          <w:rFonts w:ascii="Times New Roman" w:hAnsi="Times New Roman"/>
          <w:spacing w:val="-2"/>
          <w:szCs w:val="22"/>
        </w:rPr>
        <w:t>The</w:t>
      </w:r>
      <w:r w:rsidRPr="00AD5BFA">
        <w:rPr>
          <w:rFonts w:ascii="Times New Roman" w:hAnsi="Times New Roman"/>
          <w:spacing w:val="-2"/>
          <w:szCs w:val="22"/>
        </w:rPr>
        <w:t xml:space="preserve"> </w:t>
      </w:r>
      <w:r w:rsidR="00E43B99" w:rsidRPr="00AD5BFA">
        <w:rPr>
          <w:rFonts w:ascii="Times New Roman" w:hAnsi="Times New Roman"/>
          <w:spacing w:val="-2"/>
          <w:szCs w:val="22"/>
        </w:rPr>
        <w:t>c</w:t>
      </w:r>
      <w:r w:rsidRPr="00AD5BFA">
        <w:rPr>
          <w:rFonts w:ascii="Times New Roman" w:hAnsi="Times New Roman"/>
          <w:spacing w:val="-2"/>
          <w:szCs w:val="22"/>
        </w:rPr>
        <w:t xml:space="preserve">onsultant </w:t>
      </w:r>
      <w:r w:rsidR="00E43B99" w:rsidRPr="00AD5BFA">
        <w:rPr>
          <w:rFonts w:ascii="Times New Roman" w:hAnsi="Times New Roman"/>
          <w:spacing w:val="-2"/>
          <w:szCs w:val="22"/>
        </w:rPr>
        <w:t xml:space="preserve">firm </w:t>
      </w:r>
      <w:r w:rsidRPr="00AD5BFA">
        <w:rPr>
          <w:rFonts w:ascii="Times New Roman" w:hAnsi="Times New Roman"/>
          <w:spacing w:val="-2"/>
          <w:szCs w:val="22"/>
        </w:rPr>
        <w:t>will be selected in accordance with the procedures set out in PPAF Procurement Guidelines: Fixed Budget Method</w:t>
      </w:r>
      <w:r w:rsidR="006015D1" w:rsidRPr="00AD5BFA">
        <w:rPr>
          <w:rFonts w:ascii="Times New Roman" w:hAnsi="Times New Roman"/>
          <w:spacing w:val="-2"/>
          <w:szCs w:val="22"/>
        </w:rPr>
        <w:t xml:space="preserve"> (FBS)</w:t>
      </w:r>
      <w:r w:rsidRPr="00AD5BFA">
        <w:rPr>
          <w:rFonts w:ascii="Times New Roman" w:hAnsi="Times New Roman"/>
          <w:spacing w:val="-2"/>
          <w:szCs w:val="22"/>
        </w:rPr>
        <w:t xml:space="preserve">. </w:t>
      </w:r>
    </w:p>
    <w:p w14:paraId="69FBD39C" w14:textId="77777777" w:rsidR="001542F2" w:rsidRPr="00AD5BFA" w:rsidRDefault="001542F2" w:rsidP="001542F2">
      <w:pPr>
        <w:suppressAutoHyphens/>
        <w:jc w:val="both"/>
        <w:rPr>
          <w:rFonts w:ascii="Times New Roman" w:hAnsi="Times New Roman"/>
          <w:spacing w:val="-2"/>
          <w:szCs w:val="22"/>
        </w:rPr>
      </w:pPr>
    </w:p>
    <w:p w14:paraId="7CF1EC86" w14:textId="77777777" w:rsidR="001542F2" w:rsidRPr="00AD5BFA" w:rsidRDefault="001542F2" w:rsidP="001542F2">
      <w:pPr>
        <w:suppressAutoHyphens/>
        <w:jc w:val="both"/>
        <w:rPr>
          <w:rFonts w:ascii="Times New Roman" w:hAnsi="Times New Roman"/>
          <w:spacing w:val="-2"/>
          <w:szCs w:val="22"/>
        </w:rPr>
      </w:pPr>
      <w:r w:rsidRPr="00AD5BFA">
        <w:rPr>
          <w:rFonts w:ascii="Times New Roman" w:hAnsi="Times New Roman"/>
          <w:spacing w:val="-2"/>
          <w:szCs w:val="22"/>
        </w:rPr>
        <w:t xml:space="preserve">Interested firms may obtain further information </w:t>
      </w:r>
      <w:proofErr w:type="gramStart"/>
      <w:r w:rsidRPr="00AD5BFA">
        <w:rPr>
          <w:rFonts w:ascii="Times New Roman" w:hAnsi="Times New Roman"/>
          <w:spacing w:val="-2"/>
          <w:szCs w:val="22"/>
        </w:rPr>
        <w:t>with regard to</w:t>
      </w:r>
      <w:proofErr w:type="gramEnd"/>
      <w:r w:rsidRPr="00AD5BFA">
        <w:rPr>
          <w:rFonts w:ascii="Times New Roman" w:hAnsi="Times New Roman"/>
          <w:spacing w:val="-2"/>
          <w:szCs w:val="22"/>
        </w:rPr>
        <w:t xml:space="preserve"> preparing the Expression of Interest (EoI) at the address given below or via email address “sohaib@ppaf.org.pk” during office hours (0900-1700 hours) from Monday through Friday.</w:t>
      </w:r>
    </w:p>
    <w:p w14:paraId="680BBD40" w14:textId="77777777" w:rsidR="001542F2" w:rsidRPr="00AD5BFA" w:rsidRDefault="001542F2" w:rsidP="001542F2">
      <w:pPr>
        <w:suppressAutoHyphens/>
        <w:jc w:val="both"/>
        <w:rPr>
          <w:rFonts w:ascii="Times New Roman" w:hAnsi="Times New Roman"/>
          <w:spacing w:val="-2"/>
          <w:szCs w:val="22"/>
        </w:rPr>
      </w:pPr>
    </w:p>
    <w:p w14:paraId="380F2863" w14:textId="0E26B6AE" w:rsidR="001542F2" w:rsidRPr="00AD5BFA" w:rsidRDefault="001542F2" w:rsidP="00986C11">
      <w:pPr>
        <w:jc w:val="both"/>
        <w:rPr>
          <w:rFonts w:ascii="Times New Roman" w:hAnsi="Times New Roman"/>
          <w:spacing w:val="-2"/>
          <w:szCs w:val="22"/>
        </w:rPr>
      </w:pPr>
      <w:r w:rsidRPr="00AD5BFA">
        <w:rPr>
          <w:rFonts w:ascii="Times New Roman" w:hAnsi="Times New Roman"/>
          <w:spacing w:val="-2"/>
          <w:szCs w:val="22"/>
        </w:rPr>
        <w:t>Sealed Expression of Interest (EOI) must be delivered to the address below, clearly mentioning title of the</w:t>
      </w:r>
      <w:r w:rsidR="00986C11" w:rsidRPr="00AD5BFA">
        <w:rPr>
          <w:rFonts w:ascii="Times New Roman" w:hAnsi="Times New Roman"/>
          <w:spacing w:val="-2"/>
          <w:szCs w:val="22"/>
        </w:rPr>
        <w:t xml:space="preserve"> </w:t>
      </w:r>
      <w:r w:rsidRPr="00AD5BFA">
        <w:rPr>
          <w:rFonts w:ascii="Times New Roman" w:hAnsi="Times New Roman"/>
          <w:spacing w:val="-2"/>
          <w:szCs w:val="22"/>
        </w:rPr>
        <w:t xml:space="preserve">assignment </w:t>
      </w:r>
      <w:r w:rsidRPr="00AD5BFA">
        <w:rPr>
          <w:rFonts w:ascii="Times New Roman" w:hAnsi="Times New Roman"/>
          <w:b/>
          <w:bCs/>
          <w:spacing w:val="-2"/>
          <w:szCs w:val="22"/>
        </w:rPr>
        <w:t>“</w:t>
      </w:r>
      <w:r w:rsidR="00254CEE">
        <w:rPr>
          <w:rFonts w:ascii="Times New Roman" w:hAnsi="Times New Roman"/>
          <w:b/>
          <w:bCs/>
          <w:szCs w:val="22"/>
        </w:rPr>
        <w:t>F</w:t>
      </w:r>
      <w:r w:rsidR="00857493" w:rsidRPr="00AD5BFA">
        <w:rPr>
          <w:rFonts w:ascii="Times New Roman" w:hAnsi="Times New Roman"/>
          <w:b/>
          <w:bCs/>
          <w:szCs w:val="22"/>
        </w:rPr>
        <w:t>ormulation/revision of the PPAF Strategy based on results and lessons from implementation of 2021-2025 Strategy</w:t>
      </w:r>
      <w:r w:rsidR="00E534CA" w:rsidRPr="00AD5BFA">
        <w:rPr>
          <w:rFonts w:ascii="Times New Roman" w:hAnsi="Times New Roman"/>
          <w:b/>
          <w:bCs/>
          <w:szCs w:val="22"/>
        </w:rPr>
        <w:t>”</w:t>
      </w:r>
      <w:r w:rsidRPr="00AD5BFA">
        <w:rPr>
          <w:rFonts w:ascii="Times New Roman" w:hAnsi="Times New Roman"/>
          <w:szCs w:val="22"/>
        </w:rPr>
        <w:t>, no</w:t>
      </w:r>
      <w:r w:rsidR="00E534CA" w:rsidRPr="00AD5BFA">
        <w:rPr>
          <w:rFonts w:ascii="Times New Roman" w:hAnsi="Times New Roman"/>
          <w:szCs w:val="22"/>
        </w:rPr>
        <w:t xml:space="preserve"> lat</w:t>
      </w:r>
      <w:r w:rsidRPr="00AD5BFA">
        <w:rPr>
          <w:rFonts w:ascii="Times New Roman" w:hAnsi="Times New Roman"/>
          <w:szCs w:val="22"/>
        </w:rPr>
        <w:t xml:space="preserve">er than 1700 hrs on </w:t>
      </w:r>
      <w:r w:rsidR="00E95A12" w:rsidRPr="00AD5BFA">
        <w:rPr>
          <w:rFonts w:ascii="Times New Roman" w:hAnsi="Times New Roman"/>
          <w:szCs w:val="22"/>
        </w:rPr>
        <w:t>25</w:t>
      </w:r>
      <w:r w:rsidR="00E95A12" w:rsidRPr="00AD5BFA">
        <w:rPr>
          <w:rFonts w:ascii="Times New Roman" w:hAnsi="Times New Roman"/>
          <w:szCs w:val="22"/>
          <w:vertAlign w:val="superscript"/>
        </w:rPr>
        <w:t>th</w:t>
      </w:r>
      <w:r w:rsidR="00E95A12" w:rsidRPr="00AD5BFA">
        <w:rPr>
          <w:rFonts w:ascii="Times New Roman" w:hAnsi="Times New Roman"/>
          <w:szCs w:val="22"/>
        </w:rPr>
        <w:t xml:space="preserve"> July 2024</w:t>
      </w:r>
      <w:r w:rsidRPr="00AD5BFA">
        <w:rPr>
          <w:rFonts w:ascii="Times New Roman" w:hAnsi="Times New Roman"/>
          <w:szCs w:val="22"/>
        </w:rPr>
        <w:t>.</w:t>
      </w:r>
    </w:p>
    <w:p w14:paraId="388D1E2E" w14:textId="77777777" w:rsidR="001542F2" w:rsidRPr="00AD5BFA" w:rsidRDefault="001542F2" w:rsidP="001542F2">
      <w:pPr>
        <w:suppressAutoHyphens/>
        <w:ind w:left="1440"/>
        <w:jc w:val="both"/>
        <w:rPr>
          <w:rFonts w:ascii="Times New Roman" w:hAnsi="Times New Roman"/>
          <w:spacing w:val="-2"/>
          <w:szCs w:val="22"/>
        </w:rPr>
      </w:pPr>
    </w:p>
    <w:p w14:paraId="18CB97BD" w14:textId="77777777" w:rsidR="001542F2" w:rsidRPr="00AD5BFA" w:rsidRDefault="001542F2" w:rsidP="001542F2">
      <w:pPr>
        <w:suppressAutoHyphens/>
        <w:ind w:left="1440"/>
        <w:jc w:val="both"/>
        <w:rPr>
          <w:rFonts w:ascii="Times New Roman" w:hAnsi="Times New Roman"/>
          <w:spacing w:val="-2"/>
          <w:szCs w:val="22"/>
        </w:rPr>
      </w:pPr>
    </w:p>
    <w:p w14:paraId="5588FD02" w14:textId="77777777" w:rsidR="001542F2" w:rsidRPr="00AD5BFA" w:rsidRDefault="001542F2" w:rsidP="001542F2">
      <w:pPr>
        <w:suppressAutoHyphens/>
        <w:ind w:left="1440"/>
        <w:jc w:val="both"/>
        <w:rPr>
          <w:rFonts w:ascii="Times New Roman" w:hAnsi="Times New Roman"/>
          <w:spacing w:val="-2"/>
          <w:szCs w:val="22"/>
        </w:rPr>
      </w:pPr>
      <w:r w:rsidRPr="00AD5BFA">
        <w:rPr>
          <w:rFonts w:ascii="Times New Roman" w:hAnsi="Times New Roman"/>
          <w:spacing w:val="-2"/>
          <w:szCs w:val="22"/>
        </w:rPr>
        <w:t>Manager-Procurement</w:t>
      </w:r>
    </w:p>
    <w:p w14:paraId="035F1D48" w14:textId="77777777" w:rsidR="001542F2" w:rsidRPr="00AD5BFA" w:rsidRDefault="001542F2" w:rsidP="001542F2">
      <w:pPr>
        <w:suppressAutoHyphens/>
        <w:ind w:left="1440"/>
        <w:jc w:val="both"/>
        <w:rPr>
          <w:rFonts w:ascii="Times New Roman" w:hAnsi="Times New Roman"/>
          <w:spacing w:val="-2"/>
          <w:szCs w:val="22"/>
        </w:rPr>
      </w:pPr>
      <w:r w:rsidRPr="00AD5BFA">
        <w:rPr>
          <w:rFonts w:ascii="Times New Roman" w:hAnsi="Times New Roman"/>
          <w:spacing w:val="-2"/>
          <w:szCs w:val="22"/>
        </w:rPr>
        <w:t>Pakistan Poverty Alleviation Fund (PPAF)</w:t>
      </w:r>
    </w:p>
    <w:p w14:paraId="72F307AE" w14:textId="77777777" w:rsidR="001542F2" w:rsidRPr="00AD5BFA" w:rsidRDefault="001542F2" w:rsidP="001542F2">
      <w:pPr>
        <w:suppressAutoHyphens/>
        <w:ind w:left="1440"/>
        <w:jc w:val="both"/>
        <w:rPr>
          <w:rFonts w:ascii="Times New Roman" w:hAnsi="Times New Roman"/>
          <w:spacing w:val="-2"/>
          <w:szCs w:val="22"/>
        </w:rPr>
      </w:pPr>
      <w:r w:rsidRPr="00AD5BFA">
        <w:rPr>
          <w:rFonts w:ascii="Times New Roman" w:hAnsi="Times New Roman"/>
          <w:spacing w:val="-2"/>
          <w:szCs w:val="22"/>
        </w:rPr>
        <w:t>Plot 14, Street 12, Mauve Area, G-8/1, Islamabad</w:t>
      </w:r>
    </w:p>
    <w:p w14:paraId="707A84B6" w14:textId="77777777" w:rsidR="001542F2" w:rsidRPr="00AD5BFA" w:rsidRDefault="001542F2" w:rsidP="001542F2">
      <w:pPr>
        <w:suppressAutoHyphens/>
        <w:ind w:left="1440"/>
        <w:jc w:val="both"/>
        <w:rPr>
          <w:rFonts w:ascii="Times New Roman" w:hAnsi="Times New Roman"/>
          <w:spacing w:val="-2"/>
          <w:szCs w:val="22"/>
        </w:rPr>
      </w:pPr>
      <w:r w:rsidRPr="00AD5BFA">
        <w:rPr>
          <w:rFonts w:ascii="Times New Roman" w:hAnsi="Times New Roman"/>
          <w:spacing w:val="-2"/>
          <w:szCs w:val="22"/>
        </w:rPr>
        <w:t xml:space="preserve">UAN: (92-51) 111-000-102; Ph: (051) </w:t>
      </w:r>
      <w:r w:rsidRPr="00AD5BFA">
        <w:rPr>
          <w:rFonts w:ascii="Times New Roman" w:hAnsi="Times New Roman"/>
          <w:bCs/>
          <w:spacing w:val="-2"/>
          <w:szCs w:val="22"/>
        </w:rPr>
        <w:t>8439450-79</w:t>
      </w:r>
    </w:p>
    <w:p w14:paraId="2742268A" w14:textId="77777777" w:rsidR="001542F2" w:rsidRPr="00AD5BFA" w:rsidRDefault="001542F2" w:rsidP="001542F2">
      <w:pPr>
        <w:suppressAutoHyphens/>
        <w:ind w:left="1440"/>
        <w:jc w:val="both"/>
        <w:rPr>
          <w:rFonts w:ascii="Times New Roman" w:hAnsi="Times New Roman"/>
          <w:spacing w:val="-2"/>
          <w:szCs w:val="22"/>
        </w:rPr>
      </w:pPr>
      <w:r w:rsidRPr="00AD5BFA">
        <w:rPr>
          <w:rFonts w:ascii="Times New Roman" w:hAnsi="Times New Roman"/>
          <w:spacing w:val="-2"/>
          <w:szCs w:val="22"/>
        </w:rPr>
        <w:t xml:space="preserve">Fax: (92-51) 2282262 &amp; 4, Website: </w:t>
      </w:r>
      <w:hyperlink r:id="rId9" w:history="1">
        <w:r w:rsidRPr="00AD5BFA">
          <w:rPr>
            <w:rStyle w:val="Hyperlink"/>
            <w:rFonts w:ascii="Times New Roman" w:hAnsi="Times New Roman"/>
            <w:spacing w:val="-2"/>
            <w:szCs w:val="22"/>
          </w:rPr>
          <w:t>www.ppaf.org.pk</w:t>
        </w:r>
      </w:hyperlink>
    </w:p>
    <w:p w14:paraId="2E465073" w14:textId="77777777" w:rsidR="001542F2" w:rsidRPr="00AD5BFA" w:rsidRDefault="001542F2" w:rsidP="001542F2">
      <w:pPr>
        <w:suppressAutoHyphens/>
        <w:ind w:left="1440"/>
        <w:jc w:val="both"/>
        <w:rPr>
          <w:rFonts w:ascii="Times New Roman" w:hAnsi="Times New Roman"/>
          <w:spacing w:val="-2"/>
          <w:szCs w:val="22"/>
        </w:rPr>
      </w:pPr>
    </w:p>
    <w:p w14:paraId="5A892444" w14:textId="77777777" w:rsidR="001542F2" w:rsidRPr="00AD5BFA" w:rsidRDefault="001542F2" w:rsidP="001542F2">
      <w:pPr>
        <w:suppressAutoHyphens/>
        <w:ind w:left="1440"/>
        <w:jc w:val="both"/>
        <w:rPr>
          <w:rFonts w:ascii="Times New Roman" w:hAnsi="Times New Roman"/>
          <w:spacing w:val="-2"/>
          <w:szCs w:val="22"/>
        </w:rPr>
      </w:pPr>
    </w:p>
    <w:p w14:paraId="2E10FC81" w14:textId="784CCD61" w:rsidR="009B0FFF" w:rsidRPr="00AD5BFA" w:rsidRDefault="009B0FFF" w:rsidP="00AD5BFA">
      <w:pPr>
        <w:rPr>
          <w:rFonts w:ascii="Times New Roman" w:hAnsi="Times New Roman"/>
          <w:b/>
          <w:bCs/>
          <w:szCs w:val="22"/>
        </w:rPr>
      </w:pPr>
    </w:p>
    <w:sectPr w:rsidR="009B0FFF" w:rsidRPr="00AD5BFA" w:rsidSect="00292978">
      <w:headerReference w:type="even" r:id="rId10"/>
      <w:headerReference w:type="default" r:id="rId11"/>
      <w:endnotePr>
        <w:numFmt w:val="decimal"/>
      </w:endnotePr>
      <w:pgSz w:w="12240" w:h="15840"/>
      <w:pgMar w:top="270" w:right="1440" w:bottom="27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17975" w14:textId="77777777" w:rsidR="004E1B41" w:rsidRDefault="004E1B41">
      <w:r>
        <w:separator/>
      </w:r>
    </w:p>
  </w:endnote>
  <w:endnote w:type="continuationSeparator" w:id="0">
    <w:p w14:paraId="4DF89880" w14:textId="77777777" w:rsidR="004E1B41" w:rsidRDefault="004E1B41">
      <w:r>
        <w:rPr>
          <w:sz w:val="24"/>
        </w:rPr>
        <w:t xml:space="preserve"> </w:t>
      </w:r>
    </w:p>
  </w:endnote>
  <w:endnote w:type="continuationNotice" w:id="1">
    <w:p w14:paraId="627EB6CE" w14:textId="77777777" w:rsidR="004E1B41" w:rsidRDefault="004E1B4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73B59E" w14:textId="77777777" w:rsidR="004E1B41" w:rsidRDefault="004E1B41">
      <w:r>
        <w:rPr>
          <w:sz w:val="24"/>
        </w:rPr>
        <w:separator/>
      </w:r>
    </w:p>
  </w:footnote>
  <w:footnote w:type="continuationSeparator" w:id="0">
    <w:p w14:paraId="71E81476" w14:textId="77777777" w:rsidR="004E1B41" w:rsidRDefault="004E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28238" w14:textId="12DA8406" w:rsidR="000550C6" w:rsidRDefault="000550C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86C05" w14:textId="77777777" w:rsidR="00854281" w:rsidRDefault="00854281">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C5FEB"/>
    <w:multiLevelType w:val="hybridMultilevel"/>
    <w:tmpl w:val="77706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E05D58"/>
    <w:multiLevelType w:val="hybridMultilevel"/>
    <w:tmpl w:val="FF76091A"/>
    <w:lvl w:ilvl="0" w:tplc="0409000F">
      <w:start w:val="1"/>
      <w:numFmt w:val="decimal"/>
      <w:lvlText w:val="%1."/>
      <w:lvlJc w:val="left"/>
      <w:pPr>
        <w:tabs>
          <w:tab w:val="num" w:pos="720"/>
        </w:tabs>
        <w:ind w:left="720" w:hanging="360"/>
      </w:pPr>
      <w:rPr>
        <w:rFonts w:cs="Times New Roman"/>
      </w:rPr>
    </w:lvl>
    <w:lvl w:ilvl="1" w:tplc="6942A3B2">
      <w:start w:val="3"/>
      <w:numFmt w:val="bullet"/>
      <w:lvlText w:val=""/>
      <w:lvlJc w:val="left"/>
      <w:pPr>
        <w:tabs>
          <w:tab w:val="num" w:pos="1776"/>
        </w:tabs>
        <w:ind w:left="1776" w:hanging="696"/>
      </w:pPr>
      <w:rPr>
        <w:rFonts w:ascii="Symbol" w:eastAsia="Times New Roman" w:hAnsi="Symbol" w:hint="default"/>
      </w:rPr>
    </w:lvl>
    <w:lvl w:ilvl="2" w:tplc="D6088018">
      <w:start w:val="1"/>
      <w:numFmt w:val="lowerRoman"/>
      <w:lvlText w:val="(%3)"/>
      <w:lvlJc w:val="left"/>
      <w:pPr>
        <w:ind w:left="2790" w:hanging="81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1A7FDB"/>
    <w:multiLevelType w:val="hybridMultilevel"/>
    <w:tmpl w:val="069A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C7098"/>
    <w:multiLevelType w:val="hybridMultilevel"/>
    <w:tmpl w:val="FDD8D828"/>
    <w:lvl w:ilvl="0" w:tplc="2000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69B5B11"/>
    <w:multiLevelType w:val="hybridMultilevel"/>
    <w:tmpl w:val="082E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2763"/>
    <w:multiLevelType w:val="hybridMultilevel"/>
    <w:tmpl w:val="F62EE7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E21C70"/>
    <w:multiLevelType w:val="hybridMultilevel"/>
    <w:tmpl w:val="97A4DC78"/>
    <w:lvl w:ilvl="0" w:tplc="2000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F0E01F4"/>
    <w:multiLevelType w:val="hybridMultilevel"/>
    <w:tmpl w:val="B8C4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84AE8"/>
    <w:multiLevelType w:val="hybridMultilevel"/>
    <w:tmpl w:val="C650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B236B"/>
    <w:multiLevelType w:val="hybridMultilevel"/>
    <w:tmpl w:val="D4F4341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44806D5"/>
    <w:multiLevelType w:val="hybridMultilevel"/>
    <w:tmpl w:val="930A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C53"/>
    <w:multiLevelType w:val="hybridMultilevel"/>
    <w:tmpl w:val="153293A8"/>
    <w:lvl w:ilvl="0" w:tplc="314EC61A">
      <w:start w:val="1"/>
      <w:numFmt w:val="decimal"/>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9D77D6"/>
    <w:multiLevelType w:val="hybridMultilevel"/>
    <w:tmpl w:val="2C8AFE1C"/>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30AB43CB"/>
    <w:multiLevelType w:val="hybridMultilevel"/>
    <w:tmpl w:val="19482C16"/>
    <w:lvl w:ilvl="0" w:tplc="2000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1012455"/>
    <w:multiLevelType w:val="hybridMultilevel"/>
    <w:tmpl w:val="9B2452EA"/>
    <w:lvl w:ilvl="0" w:tplc="2000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30201B8"/>
    <w:multiLevelType w:val="hybridMultilevel"/>
    <w:tmpl w:val="18C2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66369"/>
    <w:multiLevelType w:val="hybridMultilevel"/>
    <w:tmpl w:val="F8C4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53469"/>
    <w:multiLevelType w:val="hybridMultilevel"/>
    <w:tmpl w:val="A0C0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E0DED"/>
    <w:multiLevelType w:val="hybridMultilevel"/>
    <w:tmpl w:val="16DC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87398"/>
    <w:multiLevelType w:val="hybridMultilevel"/>
    <w:tmpl w:val="D636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25D32"/>
    <w:multiLevelType w:val="hybridMultilevel"/>
    <w:tmpl w:val="C100A93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3501F47"/>
    <w:multiLevelType w:val="hybridMultilevel"/>
    <w:tmpl w:val="DE34F854"/>
    <w:lvl w:ilvl="0" w:tplc="67AC8844">
      <w:start w:val="1"/>
      <w:numFmt w:val="bullet"/>
      <w:lvlText w:val="-"/>
      <w:lvlJc w:val="left"/>
      <w:pPr>
        <w:ind w:left="720" w:hanging="360"/>
      </w:pPr>
      <w:rPr>
        <w:rFonts w:ascii="Calibri" w:eastAsiaTheme="minorEastAsia" w:hAnsi="Calibr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6D1D90"/>
    <w:multiLevelType w:val="hybridMultilevel"/>
    <w:tmpl w:val="F52C5972"/>
    <w:lvl w:ilvl="0" w:tplc="E59E9F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1183A"/>
    <w:multiLevelType w:val="hybridMultilevel"/>
    <w:tmpl w:val="18968BB2"/>
    <w:lvl w:ilvl="0" w:tplc="2000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C846F48"/>
    <w:multiLevelType w:val="hybridMultilevel"/>
    <w:tmpl w:val="328EF662"/>
    <w:lvl w:ilvl="0" w:tplc="2000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247193D"/>
    <w:multiLevelType w:val="hybridMultilevel"/>
    <w:tmpl w:val="CE12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53B2A"/>
    <w:multiLevelType w:val="hybridMultilevel"/>
    <w:tmpl w:val="167ACD18"/>
    <w:lvl w:ilvl="0" w:tplc="20000015">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6E61577F"/>
    <w:multiLevelType w:val="hybridMultilevel"/>
    <w:tmpl w:val="F38E5662"/>
    <w:lvl w:ilvl="0" w:tplc="2000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F362956"/>
    <w:multiLevelType w:val="hybridMultilevel"/>
    <w:tmpl w:val="EFF88408"/>
    <w:lvl w:ilvl="0" w:tplc="2000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2056E47"/>
    <w:multiLevelType w:val="hybridMultilevel"/>
    <w:tmpl w:val="C100A9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B47797"/>
    <w:multiLevelType w:val="hybridMultilevel"/>
    <w:tmpl w:val="F258BED6"/>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18334606">
    <w:abstractNumId w:val="16"/>
  </w:num>
  <w:num w:numId="2" w16cid:durableId="862940220">
    <w:abstractNumId w:val="25"/>
  </w:num>
  <w:num w:numId="3" w16cid:durableId="359745986">
    <w:abstractNumId w:val="15"/>
  </w:num>
  <w:num w:numId="4" w16cid:durableId="564338603">
    <w:abstractNumId w:val="10"/>
  </w:num>
  <w:num w:numId="5" w16cid:durableId="203031677">
    <w:abstractNumId w:val="1"/>
  </w:num>
  <w:num w:numId="6" w16cid:durableId="1964731402">
    <w:abstractNumId w:val="9"/>
  </w:num>
  <w:num w:numId="7" w16cid:durableId="1721319345">
    <w:abstractNumId w:val="19"/>
  </w:num>
  <w:num w:numId="8" w16cid:durableId="1630815258">
    <w:abstractNumId w:val="17"/>
  </w:num>
  <w:num w:numId="9" w16cid:durableId="1260606077">
    <w:abstractNumId w:val="29"/>
  </w:num>
  <w:num w:numId="10" w16cid:durableId="1989822563">
    <w:abstractNumId w:val="12"/>
  </w:num>
  <w:num w:numId="11" w16cid:durableId="160657997">
    <w:abstractNumId w:val="2"/>
  </w:num>
  <w:num w:numId="12" w16cid:durableId="197939538">
    <w:abstractNumId w:val="20"/>
  </w:num>
  <w:num w:numId="13" w16cid:durableId="695883136">
    <w:abstractNumId w:val="11"/>
  </w:num>
  <w:num w:numId="14" w16cid:durableId="1261793892">
    <w:abstractNumId w:val="8"/>
  </w:num>
  <w:num w:numId="15" w16cid:durableId="893469183">
    <w:abstractNumId w:val="26"/>
  </w:num>
  <w:num w:numId="16" w16cid:durableId="235866241">
    <w:abstractNumId w:val="28"/>
  </w:num>
  <w:num w:numId="17" w16cid:durableId="1642465517">
    <w:abstractNumId w:val="7"/>
  </w:num>
  <w:num w:numId="18" w16cid:durableId="1577125510">
    <w:abstractNumId w:val="27"/>
  </w:num>
  <w:num w:numId="19" w16cid:durableId="2032879197">
    <w:abstractNumId w:val="24"/>
  </w:num>
  <w:num w:numId="20" w16cid:durableId="546718717">
    <w:abstractNumId w:val="23"/>
  </w:num>
  <w:num w:numId="21" w16cid:durableId="356857905">
    <w:abstractNumId w:val="21"/>
  </w:num>
  <w:num w:numId="22" w16cid:durableId="1998849259">
    <w:abstractNumId w:val="14"/>
  </w:num>
  <w:num w:numId="23" w16cid:durableId="53555076">
    <w:abstractNumId w:val="13"/>
  </w:num>
  <w:num w:numId="24" w16cid:durableId="888876560">
    <w:abstractNumId w:val="6"/>
  </w:num>
  <w:num w:numId="25" w16cid:durableId="1484854996">
    <w:abstractNumId w:val="3"/>
  </w:num>
  <w:num w:numId="26" w16cid:durableId="2112310637">
    <w:abstractNumId w:val="5"/>
  </w:num>
  <w:num w:numId="27" w16cid:durableId="731076469">
    <w:abstractNumId w:val="30"/>
  </w:num>
  <w:num w:numId="28" w16cid:durableId="769932598">
    <w:abstractNumId w:val="18"/>
  </w:num>
  <w:num w:numId="29" w16cid:durableId="649746725">
    <w:abstractNumId w:val="4"/>
  </w:num>
  <w:num w:numId="30" w16cid:durableId="184097552">
    <w:abstractNumId w:val="0"/>
  </w:num>
  <w:num w:numId="31" w16cid:durableId="17340378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hideSpellingErrors/>
  <w:hideGrammaticalErrors/>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0Nje3tDSxNLKwsDBU0lEKTi0uzszPAykwrAUADtlzOywAAAA="/>
  </w:docVars>
  <w:rsids>
    <w:rsidRoot w:val="00EC50B8"/>
    <w:rsid w:val="00000987"/>
    <w:rsid w:val="00006559"/>
    <w:rsid w:val="00006564"/>
    <w:rsid w:val="0001034E"/>
    <w:rsid w:val="00022061"/>
    <w:rsid w:val="000550C6"/>
    <w:rsid w:val="00055851"/>
    <w:rsid w:val="00056E4B"/>
    <w:rsid w:val="0006087A"/>
    <w:rsid w:val="00061663"/>
    <w:rsid w:val="000620C5"/>
    <w:rsid w:val="00063100"/>
    <w:rsid w:val="0006371E"/>
    <w:rsid w:val="00063864"/>
    <w:rsid w:val="000723A8"/>
    <w:rsid w:val="00077846"/>
    <w:rsid w:val="000836A9"/>
    <w:rsid w:val="00087884"/>
    <w:rsid w:val="00094043"/>
    <w:rsid w:val="00097032"/>
    <w:rsid w:val="000A4184"/>
    <w:rsid w:val="000B40B7"/>
    <w:rsid w:val="000B4969"/>
    <w:rsid w:val="000B4A4F"/>
    <w:rsid w:val="000B569F"/>
    <w:rsid w:val="000C0280"/>
    <w:rsid w:val="000C20BE"/>
    <w:rsid w:val="000C4041"/>
    <w:rsid w:val="000C5F9D"/>
    <w:rsid w:val="000D0B4D"/>
    <w:rsid w:val="000D7A91"/>
    <w:rsid w:val="001027F3"/>
    <w:rsid w:val="0011735C"/>
    <w:rsid w:val="001206D3"/>
    <w:rsid w:val="001271B9"/>
    <w:rsid w:val="001542F2"/>
    <w:rsid w:val="0015777B"/>
    <w:rsid w:val="00161C87"/>
    <w:rsid w:val="00162CFE"/>
    <w:rsid w:val="00171E86"/>
    <w:rsid w:val="00173A0B"/>
    <w:rsid w:val="001857B3"/>
    <w:rsid w:val="00190A0B"/>
    <w:rsid w:val="00191559"/>
    <w:rsid w:val="00193A26"/>
    <w:rsid w:val="001A365D"/>
    <w:rsid w:val="001A64C9"/>
    <w:rsid w:val="001B0D84"/>
    <w:rsid w:val="001B5936"/>
    <w:rsid w:val="001C205E"/>
    <w:rsid w:val="001C29B3"/>
    <w:rsid w:val="001D6FCF"/>
    <w:rsid w:val="001D70EB"/>
    <w:rsid w:val="001D75A7"/>
    <w:rsid w:val="001D7827"/>
    <w:rsid w:val="001E1B3D"/>
    <w:rsid w:val="001E3020"/>
    <w:rsid w:val="001F1BB5"/>
    <w:rsid w:val="001F368C"/>
    <w:rsid w:val="00200369"/>
    <w:rsid w:val="00201846"/>
    <w:rsid w:val="0022203A"/>
    <w:rsid w:val="0024016F"/>
    <w:rsid w:val="0024098E"/>
    <w:rsid w:val="00254CEE"/>
    <w:rsid w:val="00257A81"/>
    <w:rsid w:val="0026110F"/>
    <w:rsid w:val="002619F9"/>
    <w:rsid w:val="00271EEE"/>
    <w:rsid w:val="002727A9"/>
    <w:rsid w:val="0027453C"/>
    <w:rsid w:val="002857D4"/>
    <w:rsid w:val="002919C5"/>
    <w:rsid w:val="00292978"/>
    <w:rsid w:val="00293203"/>
    <w:rsid w:val="002947E4"/>
    <w:rsid w:val="00296C39"/>
    <w:rsid w:val="002A6313"/>
    <w:rsid w:val="002B1F18"/>
    <w:rsid w:val="002C58E8"/>
    <w:rsid w:val="002C678C"/>
    <w:rsid w:val="002D388A"/>
    <w:rsid w:val="002D5B22"/>
    <w:rsid w:val="002E1CA9"/>
    <w:rsid w:val="002E3D73"/>
    <w:rsid w:val="002E7992"/>
    <w:rsid w:val="002E7FA6"/>
    <w:rsid w:val="0030190A"/>
    <w:rsid w:val="00322329"/>
    <w:rsid w:val="0032576C"/>
    <w:rsid w:val="003266E1"/>
    <w:rsid w:val="0033363D"/>
    <w:rsid w:val="00336253"/>
    <w:rsid w:val="003530CA"/>
    <w:rsid w:val="00357959"/>
    <w:rsid w:val="003611E9"/>
    <w:rsid w:val="003766BB"/>
    <w:rsid w:val="00383CEF"/>
    <w:rsid w:val="003904ED"/>
    <w:rsid w:val="00393760"/>
    <w:rsid w:val="00393F96"/>
    <w:rsid w:val="00395BC0"/>
    <w:rsid w:val="00397262"/>
    <w:rsid w:val="003B2D17"/>
    <w:rsid w:val="003C5509"/>
    <w:rsid w:val="003C562F"/>
    <w:rsid w:val="003D0337"/>
    <w:rsid w:val="003D7876"/>
    <w:rsid w:val="003F6FB9"/>
    <w:rsid w:val="004129C9"/>
    <w:rsid w:val="0041379A"/>
    <w:rsid w:val="00413C32"/>
    <w:rsid w:val="00414267"/>
    <w:rsid w:val="004148DA"/>
    <w:rsid w:val="004222B5"/>
    <w:rsid w:val="0043451A"/>
    <w:rsid w:val="00436685"/>
    <w:rsid w:val="00444E46"/>
    <w:rsid w:val="004544EC"/>
    <w:rsid w:val="0046134E"/>
    <w:rsid w:val="00465D23"/>
    <w:rsid w:val="00466246"/>
    <w:rsid w:val="00470B7D"/>
    <w:rsid w:val="00470F79"/>
    <w:rsid w:val="0047165D"/>
    <w:rsid w:val="00471791"/>
    <w:rsid w:val="00477BAB"/>
    <w:rsid w:val="004814D9"/>
    <w:rsid w:val="004865D4"/>
    <w:rsid w:val="0049274B"/>
    <w:rsid w:val="004A57AA"/>
    <w:rsid w:val="004A607C"/>
    <w:rsid w:val="004C3BE8"/>
    <w:rsid w:val="004D3553"/>
    <w:rsid w:val="004E1B41"/>
    <w:rsid w:val="004E2A79"/>
    <w:rsid w:val="004E721D"/>
    <w:rsid w:val="004F1120"/>
    <w:rsid w:val="004F31EB"/>
    <w:rsid w:val="004F7970"/>
    <w:rsid w:val="00502B7F"/>
    <w:rsid w:val="005047CA"/>
    <w:rsid w:val="005116E9"/>
    <w:rsid w:val="00513108"/>
    <w:rsid w:val="00520BDC"/>
    <w:rsid w:val="00542672"/>
    <w:rsid w:val="00547D88"/>
    <w:rsid w:val="005506CD"/>
    <w:rsid w:val="00550B2E"/>
    <w:rsid w:val="0055156F"/>
    <w:rsid w:val="005523DF"/>
    <w:rsid w:val="00564419"/>
    <w:rsid w:val="00566CE2"/>
    <w:rsid w:val="00566E6B"/>
    <w:rsid w:val="005740D9"/>
    <w:rsid w:val="005757F1"/>
    <w:rsid w:val="005764D2"/>
    <w:rsid w:val="005809EB"/>
    <w:rsid w:val="00597521"/>
    <w:rsid w:val="005A0AEF"/>
    <w:rsid w:val="005A4387"/>
    <w:rsid w:val="005A484C"/>
    <w:rsid w:val="005A7377"/>
    <w:rsid w:val="005B1B54"/>
    <w:rsid w:val="005B34F1"/>
    <w:rsid w:val="005B3B7C"/>
    <w:rsid w:val="005C1E84"/>
    <w:rsid w:val="005C3CB5"/>
    <w:rsid w:val="005E00B9"/>
    <w:rsid w:val="005E1111"/>
    <w:rsid w:val="005E2F6E"/>
    <w:rsid w:val="005E3867"/>
    <w:rsid w:val="005F0E56"/>
    <w:rsid w:val="005F59A3"/>
    <w:rsid w:val="006003C0"/>
    <w:rsid w:val="006011A8"/>
    <w:rsid w:val="006015D1"/>
    <w:rsid w:val="00607401"/>
    <w:rsid w:val="006134A6"/>
    <w:rsid w:val="00622CB5"/>
    <w:rsid w:val="00631602"/>
    <w:rsid w:val="006334FA"/>
    <w:rsid w:val="006348D9"/>
    <w:rsid w:val="006403A5"/>
    <w:rsid w:val="006500AA"/>
    <w:rsid w:val="00651704"/>
    <w:rsid w:val="00657023"/>
    <w:rsid w:val="00662F02"/>
    <w:rsid w:val="00676131"/>
    <w:rsid w:val="00683526"/>
    <w:rsid w:val="00683F95"/>
    <w:rsid w:val="00692A61"/>
    <w:rsid w:val="006A2CE5"/>
    <w:rsid w:val="006B19EB"/>
    <w:rsid w:val="006B1DAF"/>
    <w:rsid w:val="006C45C0"/>
    <w:rsid w:val="006D6898"/>
    <w:rsid w:val="006E1CC8"/>
    <w:rsid w:val="006E450B"/>
    <w:rsid w:val="006F3706"/>
    <w:rsid w:val="00703817"/>
    <w:rsid w:val="00704092"/>
    <w:rsid w:val="00706071"/>
    <w:rsid w:val="00723885"/>
    <w:rsid w:val="007259B0"/>
    <w:rsid w:val="00730F6B"/>
    <w:rsid w:val="00731E50"/>
    <w:rsid w:val="00737CB2"/>
    <w:rsid w:val="007463BE"/>
    <w:rsid w:val="00750792"/>
    <w:rsid w:val="00756D61"/>
    <w:rsid w:val="0076199E"/>
    <w:rsid w:val="00772256"/>
    <w:rsid w:val="00774A09"/>
    <w:rsid w:val="00792EF7"/>
    <w:rsid w:val="0079319E"/>
    <w:rsid w:val="0079388C"/>
    <w:rsid w:val="00793E06"/>
    <w:rsid w:val="007A4219"/>
    <w:rsid w:val="007B6A58"/>
    <w:rsid w:val="007C0D8E"/>
    <w:rsid w:val="007D0411"/>
    <w:rsid w:val="007D0C7F"/>
    <w:rsid w:val="007D4B6C"/>
    <w:rsid w:val="007D59F6"/>
    <w:rsid w:val="007E326C"/>
    <w:rsid w:val="007E427A"/>
    <w:rsid w:val="007F3FD4"/>
    <w:rsid w:val="007F6AA9"/>
    <w:rsid w:val="008063D2"/>
    <w:rsid w:val="008162F4"/>
    <w:rsid w:val="008202F4"/>
    <w:rsid w:val="00821822"/>
    <w:rsid w:val="0083284F"/>
    <w:rsid w:val="00833147"/>
    <w:rsid w:val="00840A3A"/>
    <w:rsid w:val="00845A90"/>
    <w:rsid w:val="00852ACE"/>
    <w:rsid w:val="0085344F"/>
    <w:rsid w:val="00854281"/>
    <w:rsid w:val="00857493"/>
    <w:rsid w:val="00861145"/>
    <w:rsid w:val="0086697B"/>
    <w:rsid w:val="00880E16"/>
    <w:rsid w:val="00886298"/>
    <w:rsid w:val="00890D0B"/>
    <w:rsid w:val="00892739"/>
    <w:rsid w:val="008929AC"/>
    <w:rsid w:val="00894E94"/>
    <w:rsid w:val="008A0E4B"/>
    <w:rsid w:val="008A4AA7"/>
    <w:rsid w:val="008B2884"/>
    <w:rsid w:val="008D32D5"/>
    <w:rsid w:val="008D5DE2"/>
    <w:rsid w:val="008D729D"/>
    <w:rsid w:val="008E0831"/>
    <w:rsid w:val="008E4E55"/>
    <w:rsid w:val="008F3D4E"/>
    <w:rsid w:val="009009EF"/>
    <w:rsid w:val="00903FFB"/>
    <w:rsid w:val="00906F3A"/>
    <w:rsid w:val="00911A98"/>
    <w:rsid w:val="00916E24"/>
    <w:rsid w:val="009202AC"/>
    <w:rsid w:val="009227DA"/>
    <w:rsid w:val="00930D65"/>
    <w:rsid w:val="00934659"/>
    <w:rsid w:val="00947B33"/>
    <w:rsid w:val="00954208"/>
    <w:rsid w:val="00954BC5"/>
    <w:rsid w:val="00960E63"/>
    <w:rsid w:val="009640E5"/>
    <w:rsid w:val="00964558"/>
    <w:rsid w:val="00977331"/>
    <w:rsid w:val="00981379"/>
    <w:rsid w:val="009821D4"/>
    <w:rsid w:val="00982D75"/>
    <w:rsid w:val="00982FAE"/>
    <w:rsid w:val="009830E4"/>
    <w:rsid w:val="00985BCE"/>
    <w:rsid w:val="00986697"/>
    <w:rsid w:val="00986C11"/>
    <w:rsid w:val="009950D8"/>
    <w:rsid w:val="00995397"/>
    <w:rsid w:val="009A1134"/>
    <w:rsid w:val="009A36B6"/>
    <w:rsid w:val="009A49F7"/>
    <w:rsid w:val="009A540E"/>
    <w:rsid w:val="009A7E85"/>
    <w:rsid w:val="009B0FFF"/>
    <w:rsid w:val="009B3642"/>
    <w:rsid w:val="009B4DE6"/>
    <w:rsid w:val="009B664F"/>
    <w:rsid w:val="009B723B"/>
    <w:rsid w:val="009C0D13"/>
    <w:rsid w:val="009D13BB"/>
    <w:rsid w:val="009D70B7"/>
    <w:rsid w:val="009E2972"/>
    <w:rsid w:val="00A008A0"/>
    <w:rsid w:val="00A05A45"/>
    <w:rsid w:val="00A20FB7"/>
    <w:rsid w:val="00A26F00"/>
    <w:rsid w:val="00A35D11"/>
    <w:rsid w:val="00A43C1A"/>
    <w:rsid w:val="00A45F56"/>
    <w:rsid w:val="00A51BD1"/>
    <w:rsid w:val="00A57334"/>
    <w:rsid w:val="00A57DA6"/>
    <w:rsid w:val="00A609ED"/>
    <w:rsid w:val="00A61DEF"/>
    <w:rsid w:val="00A6490B"/>
    <w:rsid w:val="00A70A36"/>
    <w:rsid w:val="00A87D93"/>
    <w:rsid w:val="00AA0624"/>
    <w:rsid w:val="00AA08BC"/>
    <w:rsid w:val="00AA12D0"/>
    <w:rsid w:val="00AA1F2A"/>
    <w:rsid w:val="00AA6D60"/>
    <w:rsid w:val="00AA7802"/>
    <w:rsid w:val="00AB07F2"/>
    <w:rsid w:val="00AB2746"/>
    <w:rsid w:val="00AC1701"/>
    <w:rsid w:val="00AD0C5A"/>
    <w:rsid w:val="00AD3E53"/>
    <w:rsid w:val="00AD5BFA"/>
    <w:rsid w:val="00AE312A"/>
    <w:rsid w:val="00AE5BE4"/>
    <w:rsid w:val="00AF308C"/>
    <w:rsid w:val="00AF44D3"/>
    <w:rsid w:val="00B0072E"/>
    <w:rsid w:val="00B11FA2"/>
    <w:rsid w:val="00B12DF1"/>
    <w:rsid w:val="00B17747"/>
    <w:rsid w:val="00B211C4"/>
    <w:rsid w:val="00B2132E"/>
    <w:rsid w:val="00B2388F"/>
    <w:rsid w:val="00B3471A"/>
    <w:rsid w:val="00B3630A"/>
    <w:rsid w:val="00B448B6"/>
    <w:rsid w:val="00B44E4C"/>
    <w:rsid w:val="00B5072C"/>
    <w:rsid w:val="00B5421F"/>
    <w:rsid w:val="00B61EC3"/>
    <w:rsid w:val="00B65A92"/>
    <w:rsid w:val="00B7008A"/>
    <w:rsid w:val="00B735EC"/>
    <w:rsid w:val="00B741BC"/>
    <w:rsid w:val="00B8458D"/>
    <w:rsid w:val="00B85C3F"/>
    <w:rsid w:val="00B86FD1"/>
    <w:rsid w:val="00B92107"/>
    <w:rsid w:val="00BA2729"/>
    <w:rsid w:val="00BA4299"/>
    <w:rsid w:val="00BC1BB9"/>
    <w:rsid w:val="00BD0074"/>
    <w:rsid w:val="00BD0123"/>
    <w:rsid w:val="00BD6CBC"/>
    <w:rsid w:val="00BD75CE"/>
    <w:rsid w:val="00BD7F05"/>
    <w:rsid w:val="00BF3383"/>
    <w:rsid w:val="00C12EEF"/>
    <w:rsid w:val="00C2139A"/>
    <w:rsid w:val="00C2236B"/>
    <w:rsid w:val="00C246A3"/>
    <w:rsid w:val="00C252A3"/>
    <w:rsid w:val="00C25BC3"/>
    <w:rsid w:val="00C30436"/>
    <w:rsid w:val="00C316FE"/>
    <w:rsid w:val="00C3596A"/>
    <w:rsid w:val="00C40A1A"/>
    <w:rsid w:val="00C4294B"/>
    <w:rsid w:val="00C4764E"/>
    <w:rsid w:val="00C5251A"/>
    <w:rsid w:val="00C5271B"/>
    <w:rsid w:val="00C603F0"/>
    <w:rsid w:val="00C61E48"/>
    <w:rsid w:val="00C772E9"/>
    <w:rsid w:val="00C85AD6"/>
    <w:rsid w:val="00C977D3"/>
    <w:rsid w:val="00C9792B"/>
    <w:rsid w:val="00CB4966"/>
    <w:rsid w:val="00CC4244"/>
    <w:rsid w:val="00CC5AA4"/>
    <w:rsid w:val="00CC62C8"/>
    <w:rsid w:val="00CD2AD4"/>
    <w:rsid w:val="00CD7D44"/>
    <w:rsid w:val="00CE5D79"/>
    <w:rsid w:val="00CE6730"/>
    <w:rsid w:val="00CF2220"/>
    <w:rsid w:val="00CF2A7A"/>
    <w:rsid w:val="00CF4D25"/>
    <w:rsid w:val="00D210FA"/>
    <w:rsid w:val="00D306E7"/>
    <w:rsid w:val="00D33BB6"/>
    <w:rsid w:val="00D42271"/>
    <w:rsid w:val="00D42879"/>
    <w:rsid w:val="00D42F8C"/>
    <w:rsid w:val="00D461FE"/>
    <w:rsid w:val="00D52071"/>
    <w:rsid w:val="00D611C4"/>
    <w:rsid w:val="00D65742"/>
    <w:rsid w:val="00D71FD4"/>
    <w:rsid w:val="00D722A8"/>
    <w:rsid w:val="00D72E10"/>
    <w:rsid w:val="00D749E0"/>
    <w:rsid w:val="00D75CB6"/>
    <w:rsid w:val="00D77045"/>
    <w:rsid w:val="00D86006"/>
    <w:rsid w:val="00D87881"/>
    <w:rsid w:val="00D9259C"/>
    <w:rsid w:val="00D94F36"/>
    <w:rsid w:val="00DA1B3D"/>
    <w:rsid w:val="00DA4CEC"/>
    <w:rsid w:val="00DB7CBB"/>
    <w:rsid w:val="00DC2B5A"/>
    <w:rsid w:val="00DC390C"/>
    <w:rsid w:val="00DD1601"/>
    <w:rsid w:val="00DE122A"/>
    <w:rsid w:val="00DE5B27"/>
    <w:rsid w:val="00DE79D0"/>
    <w:rsid w:val="00DF75E0"/>
    <w:rsid w:val="00E017F2"/>
    <w:rsid w:val="00E033C3"/>
    <w:rsid w:val="00E03912"/>
    <w:rsid w:val="00E03F19"/>
    <w:rsid w:val="00E064C4"/>
    <w:rsid w:val="00E06CE8"/>
    <w:rsid w:val="00E07E32"/>
    <w:rsid w:val="00E15B3C"/>
    <w:rsid w:val="00E17C6A"/>
    <w:rsid w:val="00E22BF7"/>
    <w:rsid w:val="00E22FE9"/>
    <w:rsid w:val="00E24737"/>
    <w:rsid w:val="00E24EDD"/>
    <w:rsid w:val="00E32951"/>
    <w:rsid w:val="00E42FD8"/>
    <w:rsid w:val="00E43B99"/>
    <w:rsid w:val="00E464B8"/>
    <w:rsid w:val="00E47E4A"/>
    <w:rsid w:val="00E51497"/>
    <w:rsid w:val="00E51C63"/>
    <w:rsid w:val="00E534CA"/>
    <w:rsid w:val="00E56B5B"/>
    <w:rsid w:val="00E6205D"/>
    <w:rsid w:val="00E63659"/>
    <w:rsid w:val="00E73437"/>
    <w:rsid w:val="00E75FAE"/>
    <w:rsid w:val="00E8002D"/>
    <w:rsid w:val="00E806E0"/>
    <w:rsid w:val="00E80EEF"/>
    <w:rsid w:val="00E81BD8"/>
    <w:rsid w:val="00E9062C"/>
    <w:rsid w:val="00E90768"/>
    <w:rsid w:val="00E95A12"/>
    <w:rsid w:val="00E96148"/>
    <w:rsid w:val="00E976F2"/>
    <w:rsid w:val="00EA0378"/>
    <w:rsid w:val="00EB06A3"/>
    <w:rsid w:val="00EB5460"/>
    <w:rsid w:val="00EB5868"/>
    <w:rsid w:val="00EC044D"/>
    <w:rsid w:val="00EC3F86"/>
    <w:rsid w:val="00EC50B8"/>
    <w:rsid w:val="00EC559B"/>
    <w:rsid w:val="00EC7CB7"/>
    <w:rsid w:val="00ED075A"/>
    <w:rsid w:val="00ED6D13"/>
    <w:rsid w:val="00EE0642"/>
    <w:rsid w:val="00EE2668"/>
    <w:rsid w:val="00EE6C14"/>
    <w:rsid w:val="00EF1341"/>
    <w:rsid w:val="00EF4683"/>
    <w:rsid w:val="00EF767B"/>
    <w:rsid w:val="00F00C5D"/>
    <w:rsid w:val="00F038FB"/>
    <w:rsid w:val="00F14EF0"/>
    <w:rsid w:val="00F157AA"/>
    <w:rsid w:val="00F1674B"/>
    <w:rsid w:val="00F17486"/>
    <w:rsid w:val="00F20F15"/>
    <w:rsid w:val="00F35720"/>
    <w:rsid w:val="00F369DD"/>
    <w:rsid w:val="00F36D4C"/>
    <w:rsid w:val="00F425D8"/>
    <w:rsid w:val="00F44421"/>
    <w:rsid w:val="00F45222"/>
    <w:rsid w:val="00F50F01"/>
    <w:rsid w:val="00F5241E"/>
    <w:rsid w:val="00F57409"/>
    <w:rsid w:val="00F57628"/>
    <w:rsid w:val="00F63FDB"/>
    <w:rsid w:val="00F675E3"/>
    <w:rsid w:val="00F72B28"/>
    <w:rsid w:val="00F77490"/>
    <w:rsid w:val="00F8000D"/>
    <w:rsid w:val="00F91C25"/>
    <w:rsid w:val="00F921BA"/>
    <w:rsid w:val="00F94535"/>
    <w:rsid w:val="00FA4D58"/>
    <w:rsid w:val="00FA7736"/>
    <w:rsid w:val="00FB7459"/>
    <w:rsid w:val="00FC04D6"/>
    <w:rsid w:val="00FC1253"/>
    <w:rsid w:val="00FC3ABA"/>
    <w:rsid w:val="00FC42B4"/>
    <w:rsid w:val="00FC4DE4"/>
    <w:rsid w:val="00FC5C99"/>
    <w:rsid w:val="00FD47BA"/>
    <w:rsid w:val="00FD5201"/>
    <w:rsid w:val="00FD6C7B"/>
    <w:rsid w:val="00FE5315"/>
    <w:rsid w:val="00FF47B7"/>
    <w:rsid w:val="01006E66"/>
    <w:rsid w:val="01CA520B"/>
    <w:rsid w:val="01F819D6"/>
    <w:rsid w:val="02A02744"/>
    <w:rsid w:val="02CE2532"/>
    <w:rsid w:val="0309C70D"/>
    <w:rsid w:val="032AEFCB"/>
    <w:rsid w:val="03D2B9F0"/>
    <w:rsid w:val="03FBB71B"/>
    <w:rsid w:val="04609F5A"/>
    <w:rsid w:val="056472CF"/>
    <w:rsid w:val="0601C25D"/>
    <w:rsid w:val="06438F7D"/>
    <w:rsid w:val="08CB51D6"/>
    <w:rsid w:val="0B778D45"/>
    <w:rsid w:val="0BB0C87B"/>
    <w:rsid w:val="0C7C7FE5"/>
    <w:rsid w:val="0E357905"/>
    <w:rsid w:val="0E9E479C"/>
    <w:rsid w:val="0EF22CB8"/>
    <w:rsid w:val="115FE0DB"/>
    <w:rsid w:val="11F51543"/>
    <w:rsid w:val="1229CD7A"/>
    <w:rsid w:val="127EF058"/>
    <w:rsid w:val="138D4CA8"/>
    <w:rsid w:val="1466E818"/>
    <w:rsid w:val="16BA6159"/>
    <w:rsid w:val="174ADE74"/>
    <w:rsid w:val="19172506"/>
    <w:rsid w:val="19335D62"/>
    <w:rsid w:val="196B5611"/>
    <w:rsid w:val="19977DB2"/>
    <w:rsid w:val="1A3446F2"/>
    <w:rsid w:val="1B5373A2"/>
    <w:rsid w:val="1C860789"/>
    <w:rsid w:val="1CC9B808"/>
    <w:rsid w:val="1D055F35"/>
    <w:rsid w:val="1D3FB570"/>
    <w:rsid w:val="1D67C55C"/>
    <w:rsid w:val="1EA22834"/>
    <w:rsid w:val="1EFD3E17"/>
    <w:rsid w:val="1F520CCE"/>
    <w:rsid w:val="20F3D77C"/>
    <w:rsid w:val="2115CEF9"/>
    <w:rsid w:val="2140504F"/>
    <w:rsid w:val="21769C1D"/>
    <w:rsid w:val="21CF79F7"/>
    <w:rsid w:val="21FB4A01"/>
    <w:rsid w:val="224D34AF"/>
    <w:rsid w:val="24391878"/>
    <w:rsid w:val="24B592ED"/>
    <w:rsid w:val="25346648"/>
    <w:rsid w:val="26C1F33D"/>
    <w:rsid w:val="286938AD"/>
    <w:rsid w:val="288A8EE7"/>
    <w:rsid w:val="289948E7"/>
    <w:rsid w:val="28EEF2FB"/>
    <w:rsid w:val="290F87BB"/>
    <w:rsid w:val="29890410"/>
    <w:rsid w:val="2AAB581C"/>
    <w:rsid w:val="2B21E9C6"/>
    <w:rsid w:val="2B3D10F0"/>
    <w:rsid w:val="2B75D55C"/>
    <w:rsid w:val="2DE8FE5E"/>
    <w:rsid w:val="2E05F7A6"/>
    <w:rsid w:val="2E8CFFE5"/>
    <w:rsid w:val="2F17FF0A"/>
    <w:rsid w:val="328CD5AD"/>
    <w:rsid w:val="32D293AC"/>
    <w:rsid w:val="342DAD00"/>
    <w:rsid w:val="34803A36"/>
    <w:rsid w:val="361C71D2"/>
    <w:rsid w:val="37CE735C"/>
    <w:rsid w:val="380A3DB8"/>
    <w:rsid w:val="38B4F7EE"/>
    <w:rsid w:val="3994DD6F"/>
    <w:rsid w:val="3A170442"/>
    <w:rsid w:val="3B3706C4"/>
    <w:rsid w:val="3B406DFF"/>
    <w:rsid w:val="3B849B91"/>
    <w:rsid w:val="3CAAC739"/>
    <w:rsid w:val="3CB81F04"/>
    <w:rsid w:val="3CC87A76"/>
    <w:rsid w:val="3D200473"/>
    <w:rsid w:val="3D740E02"/>
    <w:rsid w:val="3DC6D3FA"/>
    <w:rsid w:val="40ABAEC4"/>
    <w:rsid w:val="41690572"/>
    <w:rsid w:val="41B06DED"/>
    <w:rsid w:val="42DC0B70"/>
    <w:rsid w:val="4325D92C"/>
    <w:rsid w:val="43B5372C"/>
    <w:rsid w:val="4542F8C2"/>
    <w:rsid w:val="458224B6"/>
    <w:rsid w:val="45F1363E"/>
    <w:rsid w:val="45F7B4A8"/>
    <w:rsid w:val="4662DD7E"/>
    <w:rsid w:val="499F9A14"/>
    <w:rsid w:val="49B3E9E3"/>
    <w:rsid w:val="4A2E344B"/>
    <w:rsid w:val="4A6F7C93"/>
    <w:rsid w:val="4AB66D5C"/>
    <w:rsid w:val="4AE4FE23"/>
    <w:rsid w:val="4AEB03E3"/>
    <w:rsid w:val="4C17DD36"/>
    <w:rsid w:val="4DBEF52F"/>
    <w:rsid w:val="4E465685"/>
    <w:rsid w:val="4EDF3E7F"/>
    <w:rsid w:val="4FDF6368"/>
    <w:rsid w:val="50C9EB76"/>
    <w:rsid w:val="52DAF59A"/>
    <w:rsid w:val="54BAC211"/>
    <w:rsid w:val="54EFD818"/>
    <w:rsid w:val="552268EC"/>
    <w:rsid w:val="55819255"/>
    <w:rsid w:val="56DBC490"/>
    <w:rsid w:val="57224F16"/>
    <w:rsid w:val="57409E31"/>
    <w:rsid w:val="57E8AFE0"/>
    <w:rsid w:val="587C7B2C"/>
    <w:rsid w:val="5953DCF9"/>
    <w:rsid w:val="5957A971"/>
    <w:rsid w:val="59B64320"/>
    <w:rsid w:val="5A8E7830"/>
    <w:rsid w:val="5B66DB28"/>
    <w:rsid w:val="5C1F473C"/>
    <w:rsid w:val="5F2C8AD2"/>
    <w:rsid w:val="5F7B1FB2"/>
    <w:rsid w:val="5FD008D0"/>
    <w:rsid w:val="601BF375"/>
    <w:rsid w:val="605B3B25"/>
    <w:rsid w:val="607025F0"/>
    <w:rsid w:val="60AEAACA"/>
    <w:rsid w:val="60D9E0D3"/>
    <w:rsid w:val="6315E64B"/>
    <w:rsid w:val="63AFF61C"/>
    <w:rsid w:val="649F5F6A"/>
    <w:rsid w:val="64A69348"/>
    <w:rsid w:val="64DA579F"/>
    <w:rsid w:val="65289359"/>
    <w:rsid w:val="66DEE19F"/>
    <w:rsid w:val="6771B733"/>
    <w:rsid w:val="68C2D009"/>
    <w:rsid w:val="69CEC4F6"/>
    <w:rsid w:val="6A02E589"/>
    <w:rsid w:val="6B27DDBE"/>
    <w:rsid w:val="6C82D2E4"/>
    <w:rsid w:val="6D0BF532"/>
    <w:rsid w:val="6E7DD8E5"/>
    <w:rsid w:val="6ED656AC"/>
    <w:rsid w:val="70C58E49"/>
    <w:rsid w:val="71A0D3EA"/>
    <w:rsid w:val="720C3733"/>
    <w:rsid w:val="7278C7D1"/>
    <w:rsid w:val="728A0379"/>
    <w:rsid w:val="7375D8E6"/>
    <w:rsid w:val="73EB7D9F"/>
    <w:rsid w:val="74181A33"/>
    <w:rsid w:val="748CA82E"/>
    <w:rsid w:val="74CC1BDB"/>
    <w:rsid w:val="7511A947"/>
    <w:rsid w:val="75E89268"/>
    <w:rsid w:val="775D749C"/>
    <w:rsid w:val="77D31955"/>
    <w:rsid w:val="77EE2B98"/>
    <w:rsid w:val="7826BB65"/>
    <w:rsid w:val="78494A09"/>
    <w:rsid w:val="787C1878"/>
    <w:rsid w:val="798664A1"/>
    <w:rsid w:val="79E51A6A"/>
    <w:rsid w:val="79F8C607"/>
    <w:rsid w:val="7AA77576"/>
    <w:rsid w:val="7B1A5A3D"/>
    <w:rsid w:val="7C11FFCA"/>
    <w:rsid w:val="7ECC74E7"/>
    <w:rsid w:val="7F45A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50EF3"/>
  <w15:chartTrackingRefBased/>
  <w15:docId w15:val="{42E045F6-30B3-42C6-BA21-CBF127AE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lang w:eastAsia="en-US"/>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lang w:eastAsia="en-US"/>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aliases w:val="ftref,16 Point,Superscript 6 Point,Ref,de nota al pie,footnote,referencia nota al pie,Footnote Reference1,Footnotes refss,Footnote Reference Number,fr,BVI fnr,(NECG) Footnote Reference,Normal + Font:9 Point,Superscript 3 Point Times,R"/>
    <w:link w:val="BVIfnrCharCharChar"/>
    <w:qFormat/>
    <w:rsid w:val="008A4AA7"/>
    <w:rPr>
      <w:rFonts w:ascii="CG Times" w:hAnsi="CG Times"/>
      <w:noProof w:val="0"/>
      <w:sz w:val="22"/>
      <w:vertAlign w:val="superscript"/>
      <w:lang w:val="en-US"/>
    </w:rPr>
  </w:style>
  <w:style w:type="paragraph" w:styleId="FootnoteText">
    <w:name w:val="footnote text"/>
    <w:aliases w:val="single space,footnote text,Testo nota a piè di pagina Carattere,Footnote text,paragraph,Paragraph Footnote,ft,Geneva 9,Font: Geneva 9,Boston 10,f Char,Geneva 9 Char,Font: Geneva 9 Char,Boston 10 Char,f Char Char Car,f Char Char Car Car,fn"/>
    <w:basedOn w:val="Normal"/>
    <w:link w:val="FootnoteTextChar"/>
    <w:qFormat/>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lang w:eastAsia="en-US"/>
    </w:rPr>
  </w:style>
  <w:style w:type="paragraph" w:customStyle="1" w:styleId="TextBoxdots">
    <w:name w:val="Text Box (dots)"/>
    <w:rsid w:val="008A4AA7"/>
    <w:pPr>
      <w:keepNext/>
      <w:keepLines/>
      <w:tabs>
        <w:tab w:val="left" w:pos="-720"/>
      </w:tabs>
      <w:suppressAutoHyphens/>
      <w:jc w:val="both"/>
    </w:pPr>
    <w:rPr>
      <w:spacing w:val="-2"/>
      <w:sz w:val="22"/>
      <w:lang w:eastAsia="en-US"/>
    </w:rPr>
  </w:style>
  <w:style w:type="paragraph" w:customStyle="1" w:styleId="TextBoxFramed">
    <w:name w:val="Text Box Framed"/>
    <w:rsid w:val="008A4AA7"/>
    <w:pPr>
      <w:keepNext/>
      <w:keepLines/>
      <w:tabs>
        <w:tab w:val="left" w:pos="-720"/>
      </w:tabs>
      <w:suppressAutoHyphens/>
    </w:pPr>
    <w:rPr>
      <w:sz w:val="22"/>
      <w:lang w:eastAsia="en-US"/>
    </w:rPr>
  </w:style>
  <w:style w:type="paragraph" w:customStyle="1" w:styleId="TextBoxUnframed">
    <w:name w:val="Text Box Unframed"/>
    <w:rsid w:val="008A4AA7"/>
    <w:pPr>
      <w:keepNext/>
      <w:keepLines/>
      <w:tabs>
        <w:tab w:val="left" w:pos="-720"/>
      </w:tabs>
      <w:suppressAutoHyphens/>
    </w:pPr>
    <w:rPr>
      <w:sz w:val="22"/>
      <w:lang w:eastAsia="en-US"/>
    </w:rPr>
  </w:style>
  <w:style w:type="paragraph" w:customStyle="1" w:styleId="TOC11">
    <w:name w:val="TOC 11"/>
    <w:rsid w:val="008A4AA7"/>
    <w:pPr>
      <w:tabs>
        <w:tab w:val="left" w:pos="360"/>
      </w:tabs>
      <w:suppressAutoHyphens/>
    </w:pPr>
    <w:rPr>
      <w:rFonts w:ascii="CG Times" w:hAnsi="CG Times"/>
      <w:smallCaps/>
      <w:sz w:val="22"/>
      <w:lang w:eastAsia="en-US"/>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lang w:eastAsia="en-US"/>
    </w:rPr>
  </w:style>
  <w:style w:type="paragraph" w:customStyle="1" w:styleId="Heading1a">
    <w:name w:val="Heading 1a"/>
    <w:rsid w:val="008A4AA7"/>
    <w:pPr>
      <w:keepNext/>
      <w:keepLines/>
      <w:tabs>
        <w:tab w:val="left" w:pos="-720"/>
      </w:tabs>
      <w:suppressAutoHyphens/>
      <w:jc w:val="center"/>
    </w:pPr>
    <w:rPr>
      <w:b/>
      <w:smallCaps/>
      <w:sz w:val="32"/>
      <w:lang w:eastAsia="en-US"/>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uiPriority w:val="99"/>
    <w:rsid w:val="008A4AA7"/>
    <w:rPr>
      <w:color w:val="0000FF"/>
      <w:u w:val="single"/>
    </w:rPr>
  </w:style>
  <w:style w:type="character" w:styleId="CommentReference">
    <w:name w:val="annotation reference"/>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link w:val="BalloonText"/>
    <w:uiPriority w:val="99"/>
    <w:semiHidden/>
    <w:rsid w:val="00E07E32"/>
    <w:rPr>
      <w:rFonts w:ascii="Tahoma" w:hAnsi="Tahoma" w:cs="Tahoma"/>
      <w:sz w:val="16"/>
      <w:szCs w:val="16"/>
    </w:rPr>
  </w:style>
  <w:style w:type="paragraph" w:styleId="ListParagraph">
    <w:name w:val="List Paragraph"/>
    <w:aliases w:val="References,Paragraphe  revu,List Paragraph (numbered (a)),Numbered List Paragraph,List Paragraph1,Bullets,WB List Paragraph,Dot pt,No Spacing1,List Paragraph Char Char Char,Indicator Text,Numbered Para 1,List Paragraph12,Bullet Points,lp1"/>
    <w:basedOn w:val="Normal"/>
    <w:link w:val="ListParagraphChar"/>
    <w:uiPriority w:val="34"/>
    <w:qFormat/>
    <w:rsid w:val="0041379A"/>
    <w:pPr>
      <w:spacing w:after="200" w:line="276" w:lineRule="auto"/>
      <w:ind w:left="720"/>
    </w:pPr>
    <w:rPr>
      <w:rFonts w:ascii="Calibri" w:hAnsi="Calibri"/>
      <w:szCs w:val="22"/>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723885"/>
  </w:style>
  <w:style w:type="character" w:customStyle="1" w:styleId="eop">
    <w:name w:val="eop"/>
    <w:basedOn w:val="DefaultParagraphFont"/>
    <w:rsid w:val="00723885"/>
  </w:style>
  <w:style w:type="character" w:customStyle="1" w:styleId="UnresolvedMention1">
    <w:name w:val="Unresolved Mention1"/>
    <w:basedOn w:val="DefaultParagraphFont"/>
    <w:uiPriority w:val="99"/>
    <w:semiHidden/>
    <w:unhideWhenUsed/>
    <w:rsid w:val="00520BDC"/>
    <w:rPr>
      <w:color w:val="605E5C"/>
      <w:shd w:val="clear" w:color="auto" w:fill="E1DFDD"/>
    </w:rPr>
  </w:style>
  <w:style w:type="character" w:styleId="UnresolvedMention">
    <w:name w:val="Unresolved Mention"/>
    <w:basedOn w:val="DefaultParagraphFont"/>
    <w:uiPriority w:val="99"/>
    <w:semiHidden/>
    <w:unhideWhenUsed/>
    <w:rsid w:val="00191559"/>
    <w:rPr>
      <w:color w:val="605E5C"/>
      <w:shd w:val="clear" w:color="auto" w:fill="E1DFDD"/>
    </w:rPr>
  </w:style>
  <w:style w:type="character" w:customStyle="1" w:styleId="ListParagraphChar">
    <w:name w:val="List Paragraph Char"/>
    <w:aliases w:val="References Char,Paragraphe  revu Char,List Paragraph (numbered (a)) Char,Numbered List Paragraph Char,List Paragraph1 Char,Bullets Char,WB List Paragraph Char,Dot pt Char,No Spacing1 Char,List Paragraph Char Char Char Char,lp1 Char"/>
    <w:basedOn w:val="DefaultParagraphFont"/>
    <w:link w:val="ListParagraph"/>
    <w:uiPriority w:val="34"/>
    <w:qFormat/>
    <w:locked/>
    <w:rsid w:val="007E427A"/>
    <w:rPr>
      <w:rFonts w:ascii="Calibri" w:hAnsi="Calibri"/>
      <w:sz w:val="22"/>
      <w:szCs w:val="22"/>
      <w:lang w:eastAsia="en-US"/>
    </w:rPr>
  </w:style>
  <w:style w:type="character" w:customStyle="1" w:styleId="FootnoteTextChar">
    <w:name w:val="Footnote Text Char"/>
    <w:aliases w:val="single space Char,footnote text Char,Testo nota a piè di pagina Carattere Char,Footnote text Char,paragraph Char,Paragraph Footnote Char,ft Char,Geneva 9 Char1,Font: Geneva 9 Char1,Boston 10 Char1,f Char Char,Geneva 9 Char Char"/>
    <w:basedOn w:val="DefaultParagraphFont"/>
    <w:link w:val="FootnoteText"/>
    <w:locked/>
    <w:rsid w:val="00F35720"/>
    <w:rPr>
      <w:lang w:eastAsia="en-US"/>
    </w:rPr>
  </w:style>
  <w:style w:type="paragraph" w:customStyle="1" w:styleId="BVIfnrCharCharChar">
    <w:name w:val="BVI fnr Char Char Char"/>
    <w:aliases w:val="BVI fnr Car Car Char Char Char,BVI fnr Car Char Char Char,BVI fnr Car Car Car Car Char1 Char Char,BVI fnr Car Car Car Car Char Car Char Char Char,BVI fnr Char Char Char Char1 Char,FNRefe Char Char,BVI fnr Char Char"/>
    <w:basedOn w:val="Normal"/>
    <w:link w:val="FootnoteReference"/>
    <w:rsid w:val="00F35720"/>
    <w:pPr>
      <w:spacing w:after="160" w:line="240" w:lineRule="exact"/>
    </w:pPr>
    <w:rPr>
      <w:vertAlign w:val="superscript"/>
      <w:lang w:eastAsia="ja-JP"/>
    </w:rPr>
  </w:style>
  <w:style w:type="paragraph" w:customStyle="1" w:styleId="Default">
    <w:name w:val="Default"/>
    <w:basedOn w:val="Normal"/>
    <w:rsid w:val="001542F2"/>
    <w:pPr>
      <w:autoSpaceDE w:val="0"/>
      <w:autoSpaceDN w:val="0"/>
    </w:pPr>
    <w:rPr>
      <w:rFonts w:ascii="Calibri" w:eastAsia="Calibri" w:hAnsi="Calibri"/>
      <w:color w:val="000000"/>
      <w:sz w:val="24"/>
      <w:szCs w:val="24"/>
    </w:rPr>
  </w:style>
  <w:style w:type="paragraph" w:styleId="Revision">
    <w:name w:val="Revision"/>
    <w:hidden/>
    <w:uiPriority w:val="99"/>
    <w:semiHidden/>
    <w:rsid w:val="00063100"/>
    <w:rPr>
      <w:rFonts w:ascii="CG Times" w:hAnsi="CG Times"/>
      <w:sz w:val="22"/>
      <w:lang w:eastAsia="en-US"/>
    </w:rPr>
  </w:style>
  <w:style w:type="paragraph" w:styleId="NoSpacing">
    <w:name w:val="No Spacing"/>
    <w:basedOn w:val="Normal"/>
    <w:link w:val="NoSpacingChar"/>
    <w:uiPriority w:val="1"/>
    <w:qFormat/>
    <w:rsid w:val="009B0FFF"/>
    <w:rPr>
      <w:rFonts w:ascii="Calibri" w:eastAsiaTheme="minorHAnsi" w:hAnsi="Calibri"/>
      <w:szCs w:val="22"/>
    </w:rPr>
  </w:style>
  <w:style w:type="character" w:customStyle="1" w:styleId="NoSpacingChar">
    <w:name w:val="No Spacing Char"/>
    <w:basedOn w:val="DefaultParagraphFont"/>
    <w:link w:val="NoSpacing"/>
    <w:uiPriority w:val="1"/>
    <w:rsid w:val="009B0FFF"/>
    <w:rPr>
      <w:rFonts w:ascii="Calibri" w:eastAsiaTheme="minorHAnsi" w:hAnsi="Calibri"/>
      <w:sz w:val="22"/>
      <w:szCs w:val="22"/>
      <w:lang w:eastAsia="en-US"/>
    </w:rPr>
  </w:style>
  <w:style w:type="paragraph" w:styleId="NormalWeb">
    <w:name w:val="Normal (Web)"/>
    <w:basedOn w:val="Normal"/>
    <w:uiPriority w:val="99"/>
    <w:unhideWhenUsed/>
    <w:rsid w:val="004148DA"/>
    <w:pPr>
      <w:spacing w:before="60" w:after="60"/>
      <w:ind w:left="60"/>
    </w:pPr>
    <w:rPr>
      <w:rFonts w:ascii="Arial" w:hAnsi="Arial" w:cs="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331815">
      <w:bodyDiv w:val="1"/>
      <w:marLeft w:val="0"/>
      <w:marRight w:val="0"/>
      <w:marTop w:val="0"/>
      <w:marBottom w:val="0"/>
      <w:divBdr>
        <w:top w:val="none" w:sz="0" w:space="0" w:color="auto"/>
        <w:left w:val="none" w:sz="0" w:space="0" w:color="auto"/>
        <w:bottom w:val="none" w:sz="0" w:space="0" w:color="auto"/>
        <w:right w:val="none" w:sz="0" w:space="0" w:color="auto"/>
      </w:divBdr>
    </w:div>
    <w:div w:id="18322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af.org.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paf.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1E99-E63B-4C4E-B67E-8D255787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cp:lastModifiedBy>Sohaib Majeed</cp:lastModifiedBy>
  <cp:revision>5</cp:revision>
  <cp:lastPrinted>2021-09-24T05:10:00Z</cp:lastPrinted>
  <dcterms:created xsi:type="dcterms:W3CDTF">2024-07-15T05:19:00Z</dcterms:created>
  <dcterms:modified xsi:type="dcterms:W3CDTF">2024-07-15T06:11:00Z</dcterms:modified>
</cp:coreProperties>
</file>